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5164" w14:textId="4CE7982C" w:rsidR="00BF3694" w:rsidRPr="000A6536" w:rsidRDefault="00BF7AAD" w:rsidP="000D4684">
      <w:pPr>
        <w:spacing w:after="120"/>
        <w:rPr>
          <w:rFonts w:ascii="Georgia" w:hAnsi="Georgia"/>
          <w:color w:val="005954" w:themeColor="accent3" w:themeShade="80"/>
          <w:sz w:val="44"/>
          <w:szCs w:val="44"/>
        </w:rPr>
      </w:pPr>
      <w:r>
        <w:rPr>
          <w:rFonts w:ascii="Georgia" w:hAnsi="Georgia"/>
          <w:noProof/>
          <w:color w:val="005954" w:themeColor="accent3" w:themeShade="80"/>
          <w:sz w:val="44"/>
          <w:szCs w:val="44"/>
        </w:rPr>
        <mc:AlternateContent>
          <mc:Choice Requires="wps">
            <w:drawing>
              <wp:anchor distT="45720" distB="45720" distL="114300" distR="114300" simplePos="0" relativeHeight="251699200" behindDoc="0" locked="0" layoutInCell="1" allowOverlap="1" wp14:anchorId="1336DBF0" wp14:editId="469A462F">
                <wp:simplePos x="0" y="0"/>
                <wp:positionH relativeFrom="page">
                  <wp:posOffset>6492240</wp:posOffset>
                </wp:positionH>
                <wp:positionV relativeFrom="margin">
                  <wp:posOffset>-1115060</wp:posOffset>
                </wp:positionV>
                <wp:extent cx="1062355" cy="414020"/>
                <wp:effectExtent l="0" t="0" r="4445" b="508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41402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811AB" w14:textId="3EE45AFF" w:rsidR="00E3089A" w:rsidRPr="00C71578" w:rsidRDefault="00685DC4" w:rsidP="00A92D36">
                            <w:pPr>
                              <w:spacing w:before="120"/>
                              <w:jc w:val="center"/>
                              <w:rPr>
                                <w:b/>
                                <w:color w:val="FFFFFF" w:themeColor="background1"/>
                                <w:sz w:val="20"/>
                                <w:szCs w:val="20"/>
                              </w:rPr>
                            </w:pPr>
                            <w:r>
                              <w:rPr>
                                <w:b/>
                                <w:color w:val="FFFFFF" w:themeColor="background1"/>
                                <w:sz w:val="20"/>
                                <w:szCs w:val="20"/>
                              </w:rPr>
                              <w:t xml:space="preserve">31 </w:t>
                            </w:r>
                            <w:r w:rsidR="001416BF">
                              <w:rPr>
                                <w:b/>
                                <w:color w:val="FFFFFF" w:themeColor="background1"/>
                                <w:sz w:val="20"/>
                                <w:szCs w:val="20"/>
                              </w:rPr>
                              <w:t>July</w:t>
                            </w:r>
                            <w:r w:rsidR="00E3089A">
                              <w:rPr>
                                <w:b/>
                                <w:color w:val="FFFFFF" w:themeColor="background1"/>
                                <w:sz w:val="20"/>
                                <w:szCs w:val="20"/>
                              </w:rPr>
                              <w:t xml:space="preserve"> 20</w:t>
                            </w:r>
                            <w:r w:rsidR="00180605">
                              <w:rPr>
                                <w:b/>
                                <w:color w:val="FFFFFF" w:themeColor="background1"/>
                                <w:sz w:val="20"/>
                                <w:szCs w:val="20"/>
                              </w:rPr>
                              <w:t>2</w:t>
                            </w:r>
                            <w:r w:rsidR="00370645">
                              <w:rPr>
                                <w:b/>
                                <w:color w:val="FFFFFF" w:themeColor="background1"/>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6DBF0" id="_x0000_t202" coordsize="21600,21600" o:spt="202" path="m,l,21600r21600,l21600,xe">
                <v:stroke joinstyle="miter"/>
                <v:path gradientshapeok="t" o:connecttype="rect"/>
              </v:shapetype>
              <v:shape id="Text Box 11" o:spid="_x0000_s1026" type="#_x0000_t202" style="position:absolute;margin-left:511.2pt;margin-top:-87.8pt;width:83.65pt;height:32.6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" fillcolor="#00b2a9 [3206]" stroked="f">
                <v:textbox>
                  <w:txbxContent>
                    <w:p w14:paraId="5F1811AB" w14:textId="3EE45AFF" w:rsidR="00E3089A" w:rsidRPr="00C71578" w:rsidRDefault="00685DC4" w:rsidP="00A92D36">
                      <w:pPr>
                        <w:spacing w:before="120"/>
                        <w:jc w:val="center"/>
                        <w:rPr>
                          <w:b/>
                          <w:color w:val="FFFFFF" w:themeColor="background1"/>
                          <w:sz w:val="20"/>
                          <w:szCs w:val="20"/>
                        </w:rPr>
                      </w:pPr>
                      <w:r>
                        <w:rPr>
                          <w:b/>
                          <w:color w:val="FFFFFF" w:themeColor="background1"/>
                          <w:sz w:val="20"/>
                          <w:szCs w:val="20"/>
                        </w:rPr>
                        <w:t xml:space="preserve">31 </w:t>
                      </w:r>
                      <w:r w:rsidR="001416BF">
                        <w:rPr>
                          <w:b/>
                          <w:color w:val="FFFFFF" w:themeColor="background1"/>
                          <w:sz w:val="20"/>
                          <w:szCs w:val="20"/>
                        </w:rPr>
                        <w:t>July</w:t>
                      </w:r>
                      <w:r w:rsidR="00E3089A">
                        <w:rPr>
                          <w:b/>
                          <w:color w:val="FFFFFF" w:themeColor="background1"/>
                          <w:sz w:val="20"/>
                          <w:szCs w:val="20"/>
                        </w:rPr>
                        <w:t xml:space="preserve"> 20</w:t>
                      </w:r>
                      <w:r w:rsidR="00180605">
                        <w:rPr>
                          <w:b/>
                          <w:color w:val="FFFFFF" w:themeColor="background1"/>
                          <w:sz w:val="20"/>
                          <w:szCs w:val="20"/>
                        </w:rPr>
                        <w:t>2</w:t>
                      </w:r>
                      <w:r w:rsidR="00370645">
                        <w:rPr>
                          <w:b/>
                          <w:color w:val="FFFFFF" w:themeColor="background1"/>
                          <w:sz w:val="20"/>
                          <w:szCs w:val="20"/>
                        </w:rPr>
                        <w:t>3</w:t>
                      </w:r>
                    </w:p>
                  </w:txbxContent>
                </v:textbox>
                <w10:wrap type="square" anchorx="page" anchory="margin"/>
              </v:shape>
            </w:pict>
          </mc:Fallback>
        </mc:AlternateContent>
      </w:r>
      <w:r w:rsidR="000A6536" w:rsidRPr="000A6536">
        <w:rPr>
          <w:rFonts w:ascii="Georgia" w:hAnsi="Georgia"/>
          <w:color w:val="005954" w:themeColor="accent3" w:themeShade="80"/>
          <w:sz w:val="44"/>
          <w:szCs w:val="44"/>
        </w:rPr>
        <w:t xml:space="preserve">University of </w:t>
      </w:r>
      <w:r w:rsidR="00685DC4">
        <w:rPr>
          <w:rFonts w:ascii="Georgia" w:hAnsi="Georgia"/>
          <w:color w:val="005954" w:themeColor="accent3" w:themeShade="80"/>
          <w:sz w:val="44"/>
          <w:szCs w:val="44"/>
        </w:rPr>
        <w:t>Exeter</w:t>
      </w:r>
      <w:r w:rsidR="000A6536" w:rsidRPr="000A6536">
        <w:rPr>
          <w:rFonts w:ascii="Georgia" w:hAnsi="Georgia"/>
          <w:color w:val="005954" w:themeColor="accent3" w:themeShade="80"/>
          <w:sz w:val="44"/>
          <w:szCs w:val="44"/>
        </w:rPr>
        <w:t xml:space="preserve"> – </w:t>
      </w:r>
      <w:r w:rsidR="000D4684">
        <w:rPr>
          <w:rFonts w:ascii="Georgia" w:hAnsi="Georgia"/>
          <w:color w:val="005954" w:themeColor="accent3" w:themeShade="80"/>
          <w:sz w:val="44"/>
          <w:szCs w:val="44"/>
        </w:rPr>
        <w:t>p</w:t>
      </w:r>
      <w:r w:rsidR="000A6536" w:rsidRPr="000A6536">
        <w:rPr>
          <w:rFonts w:ascii="Georgia" w:hAnsi="Georgia"/>
          <w:color w:val="005954" w:themeColor="accent3" w:themeShade="80"/>
          <w:sz w:val="44"/>
          <w:szCs w:val="44"/>
        </w:rPr>
        <w:t>ortfolio climate metrics</w:t>
      </w:r>
    </w:p>
    <w:p w14:paraId="26022B1E" w14:textId="6C3754EE" w:rsidR="00BF3694" w:rsidRDefault="00A222B7" w:rsidP="00633B7C">
      <w:pPr>
        <w:spacing w:before="240" w:after="60"/>
        <w:rPr>
          <w:rFonts w:ascii="Georgia" w:hAnsi="Georgia"/>
          <w:color w:val="005954" w:themeColor="accent3" w:themeShade="80"/>
          <w:sz w:val="28"/>
          <w:szCs w:val="28"/>
        </w:rPr>
      </w:pPr>
      <w:r>
        <w:rPr>
          <w:rFonts w:ascii="Georgia" w:hAnsi="Georgia"/>
          <w:color w:val="005954" w:themeColor="accent3" w:themeShade="80"/>
          <w:sz w:val="28"/>
          <w:szCs w:val="28"/>
        </w:rPr>
        <w:t>Weighted average</w:t>
      </w:r>
      <w:r w:rsidR="000A6536">
        <w:rPr>
          <w:rFonts w:ascii="Georgia" w:hAnsi="Georgia"/>
          <w:color w:val="005954" w:themeColor="accent3" w:themeShade="80"/>
          <w:sz w:val="28"/>
          <w:szCs w:val="28"/>
        </w:rPr>
        <w:t xml:space="preserve"> carbon </w:t>
      </w:r>
      <w:r>
        <w:rPr>
          <w:rFonts w:ascii="Georgia" w:hAnsi="Georgia"/>
          <w:color w:val="005954" w:themeColor="accent3" w:themeShade="80"/>
          <w:sz w:val="28"/>
          <w:szCs w:val="28"/>
        </w:rPr>
        <w:t>intensity</w:t>
      </w:r>
    </w:p>
    <w:p w14:paraId="46A883DB" w14:textId="5D9FDF39" w:rsidR="00A222B7" w:rsidRDefault="00BF7AAD" w:rsidP="00BF7AAD">
      <w:pPr>
        <w:rPr>
          <w:sz w:val="20"/>
          <w:szCs w:val="20"/>
        </w:rPr>
      </w:pPr>
      <w:r w:rsidRPr="00BF7AAD">
        <w:rPr>
          <w:sz w:val="20"/>
          <w:szCs w:val="20"/>
        </w:rPr>
        <w:t xml:space="preserve">The Weighted Average Carbon Intensity (WACI) model calculates the portfolio’s exposure to carbon-intensive companies, where carbon intensity is measured as </w:t>
      </w:r>
      <w:r>
        <w:rPr>
          <w:sz w:val="20"/>
          <w:szCs w:val="20"/>
        </w:rPr>
        <w:t xml:space="preserve">scope 1 and 2 </w:t>
      </w:r>
      <w:r w:rsidRPr="00BF7AAD">
        <w:rPr>
          <w:sz w:val="20"/>
          <w:szCs w:val="20"/>
        </w:rPr>
        <w:t>carbon emissions per £m sales in the previous year. This is then weighted according to the size of the holding within the portfolio.</w:t>
      </w:r>
    </w:p>
    <w:p w14:paraId="44EDD650" w14:textId="77777777" w:rsidR="00BF7AAD" w:rsidRPr="00BF7AAD" w:rsidRDefault="00BF7AAD" w:rsidP="00BF7AAD">
      <w:pPr>
        <w:rPr>
          <w:sz w:val="20"/>
          <w:szCs w:val="20"/>
        </w:rPr>
      </w:pPr>
    </w:p>
    <w:p w14:paraId="648518EB" w14:textId="10B38291" w:rsidR="00A222B7" w:rsidRPr="00BF7AAD" w:rsidRDefault="00370645" w:rsidP="00BF7AAD">
      <w:pPr>
        <w:rPr>
          <w:sz w:val="20"/>
          <w:szCs w:val="20"/>
        </w:rPr>
      </w:pPr>
      <w:r>
        <w:rPr>
          <w:noProof/>
          <w:sz w:val="20"/>
          <w:szCs w:val="20"/>
        </w:rPr>
        <w:drawing>
          <wp:anchor distT="0" distB="0" distL="114300" distR="114300" simplePos="0" relativeHeight="251717632" behindDoc="0" locked="0" layoutInCell="1" allowOverlap="1" wp14:anchorId="4E61D900" wp14:editId="3143EEFA">
            <wp:simplePos x="0" y="0"/>
            <wp:positionH relativeFrom="column">
              <wp:posOffset>661035</wp:posOffset>
            </wp:positionH>
            <wp:positionV relativeFrom="paragraph">
              <wp:posOffset>841375</wp:posOffset>
            </wp:positionV>
            <wp:extent cx="4925695" cy="3712845"/>
            <wp:effectExtent l="0" t="0" r="8255"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5695" cy="3712845"/>
                    </a:xfrm>
                    <a:prstGeom prst="rect">
                      <a:avLst/>
                    </a:prstGeom>
                    <a:noFill/>
                  </pic:spPr>
                </pic:pic>
              </a:graphicData>
            </a:graphic>
          </wp:anchor>
        </w:drawing>
      </w:r>
      <w:r w:rsidR="00BF7AAD" w:rsidRPr="00BF7AAD">
        <w:rPr>
          <w:sz w:val="20"/>
          <w:szCs w:val="20"/>
        </w:rPr>
        <w:t>All major asset classes can be measured and compared, including fixed income, equity and managed funds. However, there is not a consensus around how to quantify the carbon footprint of certain investments such as complex financial instruments, including derivatives and short positions, as well as sovereign bonds. As such, certain managed funds cannot be reliably estimated and are therefore excluded from the measurement.</w:t>
      </w:r>
      <w:r w:rsidR="00363A16">
        <w:rPr>
          <w:sz w:val="20"/>
          <w:szCs w:val="20"/>
        </w:rPr>
        <w:t xml:space="preserve"> </w:t>
      </w:r>
      <w:r w:rsidR="006371D8">
        <w:rPr>
          <w:rStyle w:val="FootnoteReference"/>
          <w:sz w:val="20"/>
          <w:szCs w:val="20"/>
        </w:rPr>
        <w:footnoteReference w:id="1"/>
      </w:r>
    </w:p>
    <w:p w14:paraId="5E6DBC6A" w14:textId="53CD93FF" w:rsidR="006A0B32" w:rsidRDefault="006A0B32" w:rsidP="006A0B32">
      <w:pPr>
        <w:rPr>
          <w:sz w:val="20"/>
          <w:szCs w:val="20"/>
        </w:rPr>
      </w:pPr>
    </w:p>
    <w:p w14:paraId="40237F31" w14:textId="77777777" w:rsidR="002B4C9F" w:rsidRPr="00137D10" w:rsidRDefault="002B4C9F" w:rsidP="006A0B32">
      <w:pPr>
        <w:rPr>
          <w:sz w:val="20"/>
          <w:szCs w:val="20"/>
        </w:rPr>
      </w:pPr>
    </w:p>
    <w:p w14:paraId="6A3B7275" w14:textId="37219A54" w:rsidR="006942B9" w:rsidRPr="00D70D76" w:rsidRDefault="000309B7" w:rsidP="00363A16">
      <w:pPr>
        <w:rPr>
          <w:color w:val="FF0000"/>
          <w:sz w:val="20"/>
          <w:szCs w:val="20"/>
        </w:rPr>
      </w:pPr>
      <w:r>
        <w:rPr>
          <w:sz w:val="20"/>
          <w:szCs w:val="20"/>
        </w:rPr>
        <w:t>This portfolio continues to make good progress</w:t>
      </w:r>
      <w:r w:rsidR="00370645">
        <w:rPr>
          <w:sz w:val="20"/>
          <w:szCs w:val="20"/>
        </w:rPr>
        <w:t xml:space="preserve"> and is</w:t>
      </w:r>
      <w:r>
        <w:rPr>
          <w:sz w:val="20"/>
          <w:szCs w:val="20"/>
        </w:rPr>
        <w:t xml:space="preserve"> decreasing at a rate significantly above the EU Technical Expert Group’s recommendation of 5-7% a year. </w:t>
      </w:r>
    </w:p>
    <w:p w14:paraId="35CD83CA" w14:textId="2845BF97" w:rsidR="00E64755" w:rsidRDefault="00E64755" w:rsidP="00363A16">
      <w:pPr>
        <w:rPr>
          <w:sz w:val="20"/>
          <w:szCs w:val="20"/>
        </w:rPr>
      </w:pPr>
    </w:p>
    <w:p w14:paraId="16D3CA37" w14:textId="34519E38" w:rsidR="00E64755" w:rsidRDefault="00E64755" w:rsidP="00363A16">
      <w:pPr>
        <w:rPr>
          <w:sz w:val="20"/>
          <w:szCs w:val="20"/>
        </w:rPr>
      </w:pPr>
      <w:r>
        <w:rPr>
          <w:sz w:val="20"/>
          <w:szCs w:val="20"/>
        </w:rPr>
        <w:t>More generally, we have seen a number of the companies in the portfolio make significant reductions in their scope 2 emissions by signing green power purchase agreements and building out their onsite renewables capacity. On the flip side, areas of challenge include the decarbonisation of heavy and medium duty fleets.</w:t>
      </w:r>
    </w:p>
    <w:p w14:paraId="5E2EB8D8" w14:textId="3A2F956D" w:rsidR="000309B7" w:rsidRDefault="000309B7" w:rsidP="00363A16">
      <w:pPr>
        <w:rPr>
          <w:rFonts w:ascii="Georgia" w:hAnsi="Georgia"/>
          <w:color w:val="005954" w:themeColor="accent3" w:themeShade="80"/>
          <w:sz w:val="28"/>
          <w:szCs w:val="28"/>
        </w:rPr>
      </w:pPr>
    </w:p>
    <w:p w14:paraId="4E84413A" w14:textId="42C7249D" w:rsidR="00E64755" w:rsidRDefault="00E64755" w:rsidP="00363A16">
      <w:pPr>
        <w:rPr>
          <w:rFonts w:ascii="Georgia" w:hAnsi="Georgia"/>
          <w:color w:val="005954" w:themeColor="accent3" w:themeShade="80"/>
          <w:sz w:val="28"/>
          <w:szCs w:val="28"/>
        </w:rPr>
      </w:pPr>
    </w:p>
    <w:p w14:paraId="6CD46D01" w14:textId="2C66B4A1" w:rsidR="00E64755" w:rsidRDefault="00E64755" w:rsidP="00363A16">
      <w:pPr>
        <w:rPr>
          <w:rFonts w:ascii="Georgia" w:hAnsi="Georgia"/>
          <w:color w:val="005954" w:themeColor="accent3" w:themeShade="80"/>
          <w:sz w:val="28"/>
          <w:szCs w:val="28"/>
        </w:rPr>
      </w:pPr>
    </w:p>
    <w:p w14:paraId="7B2C424D" w14:textId="77777777" w:rsidR="00E64755" w:rsidRDefault="00E64755" w:rsidP="00363A16">
      <w:pPr>
        <w:rPr>
          <w:rFonts w:ascii="Georgia" w:hAnsi="Georgia"/>
          <w:color w:val="005954" w:themeColor="accent3" w:themeShade="80"/>
          <w:sz w:val="28"/>
          <w:szCs w:val="28"/>
        </w:rPr>
      </w:pPr>
    </w:p>
    <w:p w14:paraId="4FC05080" w14:textId="4B8DE97B" w:rsidR="00A222B7" w:rsidRPr="00363A16" w:rsidRDefault="001416BF" w:rsidP="00363A16">
      <w:pPr>
        <w:rPr>
          <w:rFonts w:ascii="Georgia" w:hAnsi="Georgia"/>
          <w:color w:val="005954" w:themeColor="accent3" w:themeShade="80"/>
          <w:sz w:val="28"/>
          <w:szCs w:val="28"/>
        </w:rPr>
      </w:pPr>
      <w:r>
        <w:rPr>
          <w:noProof/>
          <w:sz w:val="20"/>
          <w:szCs w:val="20"/>
        </w:rPr>
        <mc:AlternateContent>
          <mc:Choice Requires="wps">
            <w:drawing>
              <wp:anchor distT="45720" distB="45720" distL="114300" distR="114300" simplePos="0" relativeHeight="251704320" behindDoc="0" locked="0" layoutInCell="1" allowOverlap="1" wp14:anchorId="73DAAE73" wp14:editId="0DCECBFB">
                <wp:simplePos x="0" y="0"/>
                <wp:positionH relativeFrom="margin">
                  <wp:posOffset>5638165</wp:posOffset>
                </wp:positionH>
                <wp:positionV relativeFrom="margin">
                  <wp:posOffset>-1108222</wp:posOffset>
                </wp:positionV>
                <wp:extent cx="1027430" cy="414020"/>
                <wp:effectExtent l="0" t="0" r="1270" b="508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1402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5FC0E" w14:textId="2B647B0D" w:rsidR="00180605" w:rsidRPr="00C71578" w:rsidRDefault="00685DC4" w:rsidP="00180605">
                            <w:pPr>
                              <w:spacing w:before="120"/>
                              <w:jc w:val="center"/>
                              <w:rPr>
                                <w:b/>
                                <w:color w:val="FFFFFF" w:themeColor="background1"/>
                                <w:sz w:val="20"/>
                                <w:szCs w:val="20"/>
                              </w:rPr>
                            </w:pPr>
                            <w:r>
                              <w:rPr>
                                <w:b/>
                                <w:color w:val="FFFFFF" w:themeColor="background1"/>
                                <w:sz w:val="20"/>
                                <w:szCs w:val="20"/>
                              </w:rPr>
                              <w:t xml:space="preserve">31 </w:t>
                            </w:r>
                            <w:r w:rsidR="001416BF">
                              <w:rPr>
                                <w:b/>
                                <w:color w:val="FFFFFF" w:themeColor="background1"/>
                                <w:sz w:val="20"/>
                                <w:szCs w:val="20"/>
                              </w:rPr>
                              <w:t>July</w:t>
                            </w:r>
                            <w:r w:rsidR="00180605">
                              <w:rPr>
                                <w:b/>
                                <w:color w:val="FFFFFF" w:themeColor="background1"/>
                                <w:sz w:val="20"/>
                                <w:szCs w:val="20"/>
                              </w:rPr>
                              <w:t xml:space="preserve"> 202</w:t>
                            </w:r>
                            <w:r w:rsidR="00370645">
                              <w:rPr>
                                <w:b/>
                                <w:color w:val="FFFFFF" w:themeColor="background1"/>
                                <w:sz w:val="20"/>
                                <w:szCs w:val="20"/>
                              </w:rPr>
                              <w:t>3</w:t>
                            </w:r>
                          </w:p>
                          <w:p w14:paraId="30135AF6" w14:textId="77777777" w:rsidR="00E3089A" w:rsidRPr="00C71578" w:rsidRDefault="00E3089A" w:rsidP="00A92D36">
                            <w:pPr>
                              <w:spacing w:before="12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AAE73" id="Text Box 16" o:spid="_x0000_s1027" type="#_x0000_t202" style="position:absolute;margin-left:443.95pt;margin-top:-87.25pt;width:80.9pt;height:32.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" fillcolor="#00b2a9 [3206]" stroked="f">
                <v:textbox>
                  <w:txbxContent>
                    <w:p w14:paraId="1635FC0E" w14:textId="2B647B0D" w:rsidR="00180605" w:rsidRPr="00C71578" w:rsidRDefault="00685DC4" w:rsidP="00180605">
                      <w:pPr>
                        <w:spacing w:before="120"/>
                        <w:jc w:val="center"/>
                        <w:rPr>
                          <w:b/>
                          <w:color w:val="FFFFFF" w:themeColor="background1"/>
                          <w:sz w:val="20"/>
                          <w:szCs w:val="20"/>
                        </w:rPr>
                      </w:pPr>
                      <w:r>
                        <w:rPr>
                          <w:b/>
                          <w:color w:val="FFFFFF" w:themeColor="background1"/>
                          <w:sz w:val="20"/>
                          <w:szCs w:val="20"/>
                        </w:rPr>
                        <w:t xml:space="preserve">31 </w:t>
                      </w:r>
                      <w:r w:rsidR="001416BF">
                        <w:rPr>
                          <w:b/>
                          <w:color w:val="FFFFFF" w:themeColor="background1"/>
                          <w:sz w:val="20"/>
                          <w:szCs w:val="20"/>
                        </w:rPr>
                        <w:t>July</w:t>
                      </w:r>
                      <w:r w:rsidR="00180605">
                        <w:rPr>
                          <w:b/>
                          <w:color w:val="FFFFFF" w:themeColor="background1"/>
                          <w:sz w:val="20"/>
                          <w:szCs w:val="20"/>
                        </w:rPr>
                        <w:t xml:space="preserve"> 202</w:t>
                      </w:r>
                      <w:r w:rsidR="00370645">
                        <w:rPr>
                          <w:b/>
                          <w:color w:val="FFFFFF" w:themeColor="background1"/>
                          <w:sz w:val="20"/>
                          <w:szCs w:val="20"/>
                        </w:rPr>
                        <w:t>3</w:t>
                      </w:r>
                    </w:p>
                    <w:p w14:paraId="30135AF6" w14:textId="77777777" w:rsidR="00E3089A" w:rsidRPr="00C71578" w:rsidRDefault="00E3089A" w:rsidP="00A92D36">
                      <w:pPr>
                        <w:spacing w:before="120"/>
                        <w:jc w:val="center"/>
                        <w:rPr>
                          <w:b/>
                          <w:color w:val="FFFFFF" w:themeColor="background1"/>
                          <w:sz w:val="20"/>
                          <w:szCs w:val="20"/>
                        </w:rPr>
                      </w:pPr>
                    </w:p>
                  </w:txbxContent>
                </v:textbox>
                <w10:wrap type="square" anchorx="margin" anchory="margin"/>
              </v:shape>
            </w:pict>
          </mc:Fallback>
        </mc:AlternateContent>
      </w:r>
      <w:r w:rsidR="00A222B7">
        <w:rPr>
          <w:rFonts w:ascii="Georgia" w:hAnsi="Georgia"/>
          <w:color w:val="005954" w:themeColor="accent3" w:themeShade="80"/>
          <w:sz w:val="28"/>
          <w:szCs w:val="28"/>
        </w:rPr>
        <w:t>Portfolio carbon footprint</w:t>
      </w:r>
    </w:p>
    <w:p w14:paraId="06FC41BD" w14:textId="38F786F6" w:rsidR="00BF3694" w:rsidRPr="00B77443" w:rsidRDefault="00363A16" w:rsidP="000D4684">
      <w:pPr>
        <w:spacing w:after="120" w:line="260" w:lineRule="atLeast"/>
        <w:rPr>
          <w:sz w:val="20"/>
          <w:szCs w:val="20"/>
        </w:rPr>
      </w:pPr>
      <w:r>
        <w:rPr>
          <w:sz w:val="20"/>
          <w:szCs w:val="20"/>
        </w:rPr>
        <w:t>This s</w:t>
      </w:r>
      <w:r w:rsidR="000D4684" w:rsidRPr="00B77443">
        <w:rPr>
          <w:sz w:val="20"/>
          <w:szCs w:val="20"/>
        </w:rPr>
        <w:t xml:space="preserve">hows the carbon ‘owned’ by the equity portion of investment portfolios. It looks at the </w:t>
      </w:r>
      <w:r>
        <w:rPr>
          <w:sz w:val="20"/>
          <w:szCs w:val="20"/>
        </w:rPr>
        <w:t xml:space="preserve">scope 1 and 2 </w:t>
      </w:r>
      <w:r w:rsidR="000D4684" w:rsidRPr="00B77443">
        <w:rPr>
          <w:sz w:val="20"/>
          <w:szCs w:val="20"/>
        </w:rPr>
        <w:t>carbon emissions reported by companies, either to the CDP (Carbon Disclosure Project) or in their annual reports, and the percentage of each company’s shares owned within a portfolio. These are then aggregated to determine the amount of carbon ‘owned’ by a portfolio through its specific shareholdings.</w:t>
      </w:r>
      <w:r w:rsidR="00217E0D" w:rsidRPr="00B77443">
        <w:rPr>
          <w:sz w:val="20"/>
          <w:szCs w:val="20"/>
        </w:rPr>
        <w:t xml:space="preserve"> </w:t>
      </w:r>
    </w:p>
    <w:p w14:paraId="1672925B" w14:textId="2079DA54" w:rsidR="00217E0D" w:rsidRPr="00B77443" w:rsidRDefault="00217E0D" w:rsidP="000D4684">
      <w:pPr>
        <w:spacing w:after="120" w:line="260" w:lineRule="atLeast"/>
        <w:rPr>
          <w:sz w:val="20"/>
          <w:szCs w:val="20"/>
        </w:rPr>
      </w:pPr>
      <w:r w:rsidRPr="00B77443">
        <w:rPr>
          <w:sz w:val="20"/>
          <w:szCs w:val="20"/>
        </w:rPr>
        <w:t xml:space="preserve">Comparison benchmarks are calculated by allocating the portion of the portfolio invested in equities and covered by carbon data across index constituents according to their respective market cap weightings. The FTSE 350 and MSCI World Indices are used as comparators. </w:t>
      </w:r>
    </w:p>
    <w:p w14:paraId="4465645B" w14:textId="3AB6638E" w:rsidR="008A65E0" w:rsidRDefault="00370645" w:rsidP="000D4684">
      <w:pPr>
        <w:spacing w:after="120" w:line="260" w:lineRule="atLeast"/>
        <w:rPr>
          <w:sz w:val="20"/>
          <w:szCs w:val="20"/>
        </w:rPr>
      </w:pPr>
      <w:r>
        <w:rPr>
          <w:noProof/>
          <w:sz w:val="20"/>
          <w:szCs w:val="20"/>
        </w:rPr>
        <w:drawing>
          <wp:anchor distT="0" distB="0" distL="114300" distR="114300" simplePos="0" relativeHeight="251718656" behindDoc="0" locked="0" layoutInCell="1" allowOverlap="1" wp14:anchorId="78B23EFD" wp14:editId="021620F9">
            <wp:simplePos x="0" y="0"/>
            <wp:positionH relativeFrom="page">
              <wp:align>center</wp:align>
            </wp:positionH>
            <wp:positionV relativeFrom="paragraph">
              <wp:posOffset>461645</wp:posOffset>
            </wp:positionV>
            <wp:extent cx="4737100" cy="3926205"/>
            <wp:effectExtent l="0" t="0" r="635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3926205"/>
                    </a:xfrm>
                    <a:prstGeom prst="rect">
                      <a:avLst/>
                    </a:prstGeom>
                    <a:noFill/>
                  </pic:spPr>
                </pic:pic>
              </a:graphicData>
            </a:graphic>
          </wp:anchor>
        </w:drawing>
      </w:r>
      <w:r w:rsidR="00217E0D" w:rsidRPr="00B77443">
        <w:rPr>
          <w:sz w:val="20"/>
          <w:szCs w:val="20"/>
        </w:rPr>
        <w:t xml:space="preserve">It is also possible to compare the carbon footprint of different sized portfolios by using a measure of carbon ‘owned’ per £1m invested. </w:t>
      </w:r>
    </w:p>
    <w:p w14:paraId="4CD4339C" w14:textId="2983A750" w:rsidR="00363A16" w:rsidRDefault="00363A16" w:rsidP="00BF3694">
      <w:pPr>
        <w:spacing w:after="120" w:line="260" w:lineRule="atLeast"/>
        <w:rPr>
          <w:sz w:val="20"/>
          <w:szCs w:val="20"/>
        </w:rPr>
      </w:pPr>
    </w:p>
    <w:p w14:paraId="5AC3E8CF" w14:textId="1F2A59F7" w:rsidR="0021752A" w:rsidRPr="00D70D76" w:rsidRDefault="00370645" w:rsidP="00BF3694">
      <w:pPr>
        <w:spacing w:after="120" w:line="260" w:lineRule="atLeast"/>
        <w:rPr>
          <w:color w:val="FF0000"/>
          <w:sz w:val="20"/>
          <w:szCs w:val="20"/>
        </w:rPr>
      </w:pPr>
      <w:r>
        <w:rPr>
          <w:sz w:val="20"/>
          <w:szCs w:val="20"/>
        </w:rPr>
        <w:t>Again, under</w:t>
      </w:r>
      <w:r w:rsidR="001D0CC6">
        <w:rPr>
          <w:sz w:val="20"/>
          <w:szCs w:val="20"/>
        </w:rPr>
        <w:t xml:space="preserve"> this methodology, the portfolio is making good progress. </w:t>
      </w:r>
      <w:bookmarkStart w:id="0" w:name="_GoBack"/>
      <w:bookmarkEnd w:id="0"/>
    </w:p>
    <w:p w14:paraId="1916ED22" w14:textId="77777777" w:rsidR="00195787" w:rsidRPr="00D70D76" w:rsidRDefault="00195787" w:rsidP="00BF3694">
      <w:pPr>
        <w:spacing w:after="120" w:line="260" w:lineRule="atLeast"/>
        <w:rPr>
          <w:color w:val="FF0000"/>
          <w:sz w:val="20"/>
          <w:szCs w:val="20"/>
        </w:rPr>
      </w:pPr>
    </w:p>
    <w:p w14:paraId="6BF91AC6" w14:textId="77777777" w:rsidR="001416BF" w:rsidRDefault="001416BF" w:rsidP="00695564">
      <w:pPr>
        <w:spacing w:after="120" w:line="260" w:lineRule="atLeast"/>
        <w:rPr>
          <w:sz w:val="20"/>
          <w:szCs w:val="20"/>
        </w:rPr>
      </w:pPr>
    </w:p>
    <w:sectPr w:rsidR="001416BF" w:rsidSect="00CE1192">
      <w:headerReference w:type="default" r:id="rId10"/>
      <w:footerReference w:type="default" r:id="rId11"/>
      <w:headerReference w:type="first" r:id="rId12"/>
      <w:footerReference w:type="first" r:id="rId13"/>
      <w:pgSz w:w="11906" w:h="16838"/>
      <w:pgMar w:top="1560" w:right="849" w:bottom="1418" w:left="1389"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F5A9" w14:textId="77777777" w:rsidR="007B179B" w:rsidRDefault="007B179B" w:rsidP="00B229DE">
      <w:r>
        <w:separator/>
      </w:r>
    </w:p>
  </w:endnote>
  <w:endnote w:type="continuationSeparator" w:id="0">
    <w:p w14:paraId="18A1E4E2" w14:textId="77777777" w:rsidR="007B179B" w:rsidRDefault="007B179B" w:rsidP="00B2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2751" w14:textId="77777777" w:rsidR="00E3089A" w:rsidRPr="006639D1" w:rsidRDefault="00E3089A" w:rsidP="004008D0">
    <w:pPr>
      <w:pStyle w:val="Footer"/>
      <w:rPr>
        <w:rFonts w:ascii="Georgia" w:hAnsi="Georgia"/>
        <w:color w:val="335183"/>
      </w:rPr>
    </w:pPr>
    <w:r w:rsidRPr="00DE6092">
      <w:rPr>
        <w:rFonts w:ascii="Georgia" w:hAnsi="Georgia"/>
        <w:color w:val="335183"/>
      </w:rPr>
      <w:ptab w:relativeTo="margin" w:alignment="center" w:leader="none"/>
    </w:r>
    <w:r w:rsidRPr="00DE6092">
      <w:rPr>
        <w:rFonts w:ascii="Georgia" w:hAnsi="Georgia"/>
        <w:color w:val="335183"/>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C2CD" w14:textId="77777777" w:rsidR="00E3089A" w:rsidRDefault="00E3089A">
    <w:pPr>
      <w:pStyle w:val="Footer"/>
    </w:pPr>
  </w:p>
  <w:p w14:paraId="33F90C2A" w14:textId="77777777" w:rsidR="00E3089A" w:rsidRDefault="00E3089A">
    <w:pPr>
      <w:pStyle w:val="Footer"/>
    </w:pPr>
  </w:p>
  <w:p w14:paraId="74546AFD" w14:textId="77777777" w:rsidR="00E3089A" w:rsidRDefault="00E3089A">
    <w:pPr>
      <w:pStyle w:val="Footer"/>
    </w:pPr>
    <w:r>
      <w:rPr>
        <w:noProof/>
      </w:rPr>
      <w:drawing>
        <wp:anchor distT="0" distB="0" distL="114300" distR="114300" simplePos="0" relativeHeight="251659264" behindDoc="0" locked="0" layoutInCell="1" allowOverlap="1" wp14:anchorId="4F8B7A0C" wp14:editId="34D5FEF1">
          <wp:simplePos x="0" y="0"/>
          <wp:positionH relativeFrom="page">
            <wp:posOffset>5040630</wp:posOffset>
          </wp:positionH>
          <wp:positionV relativeFrom="page">
            <wp:posOffset>9695815</wp:posOffset>
          </wp:positionV>
          <wp:extent cx="1680210" cy="534670"/>
          <wp:effectExtent l="19050" t="0" r="0" b="0"/>
          <wp:wrapSquare wrapText="bothSides"/>
          <wp:docPr id="25" name="Picture 0" descr="rathbones_logo_pos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hbones_logo_pos_rgb.gif"/>
                  <pic:cNvPicPr/>
                </pic:nvPicPr>
                <pic:blipFill>
                  <a:blip r:embed="rId1"/>
                  <a:stretch>
                    <a:fillRect/>
                  </a:stretch>
                </pic:blipFill>
                <pic:spPr>
                  <a:xfrm>
                    <a:off x="0" y="0"/>
                    <a:ext cx="1680210" cy="5346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926C" w14:textId="77777777" w:rsidR="007B179B" w:rsidRDefault="007B179B" w:rsidP="00B229DE">
      <w:r>
        <w:separator/>
      </w:r>
    </w:p>
  </w:footnote>
  <w:footnote w:type="continuationSeparator" w:id="0">
    <w:p w14:paraId="1FB0B9FC" w14:textId="77777777" w:rsidR="007B179B" w:rsidRDefault="007B179B" w:rsidP="00B229DE">
      <w:r>
        <w:continuationSeparator/>
      </w:r>
    </w:p>
  </w:footnote>
  <w:footnote w:id="1">
    <w:p w14:paraId="78795C48" w14:textId="097C8AF6" w:rsidR="006371D8" w:rsidRDefault="006371D8" w:rsidP="006371D8">
      <w:pPr>
        <w:pStyle w:val="FootnoteText"/>
      </w:pPr>
      <w:r>
        <w:rPr>
          <w:rStyle w:val="FootnoteReference"/>
        </w:rPr>
        <w:footnoteRef/>
      </w:r>
      <w:r>
        <w:t xml:space="preserve"> Benchmark figures are provided by MSCI.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57CF" w14:textId="322AA3D3" w:rsidR="00BF7AAD" w:rsidRPr="00571FC5" w:rsidRDefault="00BF7AAD" w:rsidP="00BF7AAD">
    <w:pPr>
      <w:jc w:val="right"/>
      <w:rPr>
        <w:b/>
        <w:color w:val="FFFFFF" w:themeColor="background1"/>
        <w:sz w:val="20"/>
        <w:szCs w:val="20"/>
      </w:rPr>
    </w:pPr>
    <w:r w:rsidRPr="00571FC5">
      <w:rPr>
        <w:b/>
        <w:color w:val="FFFFFF" w:themeColor="background1"/>
        <w:sz w:val="20"/>
        <w:szCs w:val="20"/>
      </w:rPr>
      <w:t xml:space="preserve">University of </w:t>
    </w:r>
    <w:r>
      <w:rPr>
        <w:b/>
        <w:color w:val="FFFFFF" w:themeColor="background1"/>
        <w:sz w:val="20"/>
        <w:szCs w:val="20"/>
      </w:rPr>
      <w:t>Exeter</w:t>
    </w:r>
    <w:r w:rsidRPr="00571FC5">
      <w:rPr>
        <w:b/>
        <w:color w:val="FFFFFF" w:themeColor="background1"/>
        <w:sz w:val="20"/>
        <w:szCs w:val="20"/>
      </w:rPr>
      <w:t xml:space="preserve"> </w:t>
    </w:r>
  </w:p>
  <w:p w14:paraId="4DD1B072" w14:textId="676BEB31" w:rsidR="009D2F12" w:rsidRPr="00D74B20" w:rsidRDefault="009D2F12" w:rsidP="009D2F12">
    <w:pPr>
      <w:jc w:val="center"/>
      <w:rPr>
        <w:color w:val="005954" w:themeColor="accent3" w:themeShade="80"/>
      </w:rPr>
    </w:pPr>
    <w:r w:rsidRPr="00D74B20">
      <w:rPr>
        <w:rFonts w:ascii="Georgia" w:hAnsi="Georgia"/>
        <w:noProof/>
        <w:color w:val="005954" w:themeColor="accent3" w:themeShade="80"/>
      </w:rPr>
      <w:drawing>
        <wp:anchor distT="0" distB="0" distL="114300" distR="114300" simplePos="0" relativeHeight="251661824" behindDoc="0" locked="0" layoutInCell="1" allowOverlap="1" wp14:anchorId="675CBD24" wp14:editId="6BD0FF24">
          <wp:simplePos x="0" y="0"/>
          <wp:positionH relativeFrom="margin">
            <wp:posOffset>19050</wp:posOffset>
          </wp:positionH>
          <wp:positionV relativeFrom="margin">
            <wp:posOffset>-586740</wp:posOffset>
          </wp:positionV>
          <wp:extent cx="3052445" cy="328295"/>
          <wp:effectExtent l="19050" t="0" r="0" b="0"/>
          <wp:wrapSquare wrapText="bothSides"/>
          <wp:docPr id="19" name="Picture 0" descr="Tagline Jade 50 darker 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 Jade 50 darker tint.png"/>
                  <pic:cNvPicPr/>
                </pic:nvPicPr>
                <pic:blipFill>
                  <a:blip r:embed="rId1"/>
                  <a:stretch>
                    <a:fillRect/>
                  </a:stretch>
                </pic:blipFill>
                <pic:spPr>
                  <a:xfrm>
                    <a:off x="0" y="0"/>
                    <a:ext cx="3052445" cy="328295"/>
                  </a:xfrm>
                  <a:prstGeom prst="rect">
                    <a:avLst/>
                  </a:prstGeom>
                </pic:spPr>
              </pic:pic>
            </a:graphicData>
          </a:graphic>
        </wp:anchor>
      </w:drawing>
    </w:r>
  </w:p>
  <w:p w14:paraId="006ADDC2" w14:textId="77777777" w:rsidR="009D2F12" w:rsidRDefault="009D2F12" w:rsidP="009D2F12"/>
  <w:p w14:paraId="1ECA14E0" w14:textId="77777777" w:rsidR="00E3089A" w:rsidRDefault="00E308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3455" w14:textId="77777777" w:rsidR="00E3089A" w:rsidRPr="00A90045" w:rsidRDefault="00E3089A" w:rsidP="006639D1">
    <w:pPr>
      <w:pStyle w:val="Header"/>
      <w:rPr>
        <w:rFonts w:ascii="Georgia" w:hAnsi="Georgia"/>
        <w:color w:val="1F497D" w:themeColor="text2"/>
        <w:sz w:val="32"/>
        <w:szCs w:val="32"/>
      </w:rPr>
    </w:pPr>
    <w:r>
      <w:rPr>
        <w:rFonts w:ascii="Georgia" w:hAnsi="Georgia"/>
        <w:noProof/>
        <w:color w:val="1F497D" w:themeColor="text2"/>
        <w:sz w:val="32"/>
        <w:szCs w:val="32"/>
      </w:rPr>
      <w:drawing>
        <wp:anchor distT="0" distB="0" distL="114300" distR="114300" simplePos="0" relativeHeight="251657216" behindDoc="0" locked="0" layoutInCell="1" allowOverlap="1" wp14:anchorId="4BD90BF4" wp14:editId="60AC5D7D">
          <wp:simplePos x="0" y="0"/>
          <wp:positionH relativeFrom="margin">
            <wp:posOffset>-74295</wp:posOffset>
          </wp:positionH>
          <wp:positionV relativeFrom="margin">
            <wp:posOffset>-777240</wp:posOffset>
          </wp:positionV>
          <wp:extent cx="3169285" cy="372745"/>
          <wp:effectExtent l="0" t="0" r="0" b="0"/>
          <wp:wrapSquare wrapText="bothSides"/>
          <wp:docPr id="24" name="Picture 0" descr="Tagline Jade 50 darker 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 Jade 50 darker tint.png"/>
                  <pic:cNvPicPr/>
                </pic:nvPicPr>
                <pic:blipFill>
                  <a:blip r:embed="rId1"/>
                  <a:stretch>
                    <a:fillRect/>
                  </a:stretch>
                </pic:blipFill>
                <pic:spPr>
                  <a:xfrm>
                    <a:off x="0" y="0"/>
                    <a:ext cx="3169285" cy="372745"/>
                  </a:xfrm>
                  <a:prstGeom prst="rect">
                    <a:avLst/>
                  </a:prstGeom>
                </pic:spPr>
              </pic:pic>
            </a:graphicData>
          </a:graphic>
        </wp:anchor>
      </w:drawing>
    </w:r>
  </w:p>
  <w:p w14:paraId="39EC84AF" w14:textId="77777777" w:rsidR="00E3089A" w:rsidRDefault="00E3089A" w:rsidP="006639D1">
    <w:pPr>
      <w:pStyle w:val="Header"/>
      <w:tabs>
        <w:tab w:val="clear" w:pos="4513"/>
        <w:tab w:val="clear" w:pos="9026"/>
        <w:tab w:val="left" w:pos="75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86F"/>
    <w:multiLevelType w:val="hybridMultilevel"/>
    <w:tmpl w:val="731C8FDC"/>
    <w:lvl w:ilvl="0" w:tplc="4E1A90FC">
      <w:numFmt w:val="bullet"/>
      <w:lvlText w:val="•"/>
      <w:lvlJc w:val="left"/>
      <w:pPr>
        <w:ind w:left="3750" w:hanging="510"/>
      </w:pPr>
      <w:rPr>
        <w:rFonts w:ascii="Georgia" w:eastAsia="Times New Roman" w:hAnsi="Georgia"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85566DE"/>
    <w:multiLevelType w:val="hybridMultilevel"/>
    <w:tmpl w:val="5026562E"/>
    <w:lvl w:ilvl="0" w:tplc="4E1A90FC">
      <w:numFmt w:val="bullet"/>
      <w:lvlText w:val="•"/>
      <w:lvlJc w:val="left"/>
      <w:pPr>
        <w:ind w:left="870" w:hanging="51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76A59"/>
    <w:multiLevelType w:val="hybridMultilevel"/>
    <w:tmpl w:val="691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306CE"/>
    <w:multiLevelType w:val="hybridMultilevel"/>
    <w:tmpl w:val="9CB4423C"/>
    <w:lvl w:ilvl="0" w:tplc="4E1A90FC">
      <w:numFmt w:val="bullet"/>
      <w:lvlText w:val="•"/>
      <w:lvlJc w:val="left"/>
      <w:pPr>
        <w:ind w:left="870" w:hanging="51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A6536"/>
    <w:rsid w:val="00000A1D"/>
    <w:rsid w:val="00007193"/>
    <w:rsid w:val="00012B9B"/>
    <w:rsid w:val="000155AA"/>
    <w:rsid w:val="00022C01"/>
    <w:rsid w:val="00023338"/>
    <w:rsid w:val="00026B1B"/>
    <w:rsid w:val="000309B7"/>
    <w:rsid w:val="000333AD"/>
    <w:rsid w:val="00072E5E"/>
    <w:rsid w:val="00087D75"/>
    <w:rsid w:val="000A6536"/>
    <w:rsid w:val="000B0955"/>
    <w:rsid w:val="000B3340"/>
    <w:rsid w:val="000B4B9D"/>
    <w:rsid w:val="000C3781"/>
    <w:rsid w:val="000C5472"/>
    <w:rsid w:val="000D4684"/>
    <w:rsid w:val="000F7931"/>
    <w:rsid w:val="00105558"/>
    <w:rsid w:val="00111323"/>
    <w:rsid w:val="00137D10"/>
    <w:rsid w:val="001416BF"/>
    <w:rsid w:val="00142562"/>
    <w:rsid w:val="001459FD"/>
    <w:rsid w:val="0014779A"/>
    <w:rsid w:val="0015106D"/>
    <w:rsid w:val="00155025"/>
    <w:rsid w:val="00180605"/>
    <w:rsid w:val="001941D0"/>
    <w:rsid w:val="00195787"/>
    <w:rsid w:val="001A6754"/>
    <w:rsid w:val="001A6CB3"/>
    <w:rsid w:val="001B1AE3"/>
    <w:rsid w:val="001B7718"/>
    <w:rsid w:val="001C531D"/>
    <w:rsid w:val="001D0CC6"/>
    <w:rsid w:val="001E2E63"/>
    <w:rsid w:val="001F5EAE"/>
    <w:rsid w:val="00200C7E"/>
    <w:rsid w:val="002045F0"/>
    <w:rsid w:val="00211052"/>
    <w:rsid w:val="0021298B"/>
    <w:rsid w:val="00214DCF"/>
    <w:rsid w:val="0021752A"/>
    <w:rsid w:val="00217A11"/>
    <w:rsid w:val="00217E0D"/>
    <w:rsid w:val="00221296"/>
    <w:rsid w:val="002230D8"/>
    <w:rsid w:val="00232833"/>
    <w:rsid w:val="002419A8"/>
    <w:rsid w:val="00264830"/>
    <w:rsid w:val="00273FAC"/>
    <w:rsid w:val="00284869"/>
    <w:rsid w:val="00287612"/>
    <w:rsid w:val="002A0A42"/>
    <w:rsid w:val="002B4C9F"/>
    <w:rsid w:val="002C0CD0"/>
    <w:rsid w:val="002D6A20"/>
    <w:rsid w:val="002E516C"/>
    <w:rsid w:val="002E6618"/>
    <w:rsid w:val="002F3306"/>
    <w:rsid w:val="00304C8C"/>
    <w:rsid w:val="003109FA"/>
    <w:rsid w:val="00313B51"/>
    <w:rsid w:val="0032493D"/>
    <w:rsid w:val="00361DC8"/>
    <w:rsid w:val="00363A16"/>
    <w:rsid w:val="00370645"/>
    <w:rsid w:val="0038037F"/>
    <w:rsid w:val="003A51C4"/>
    <w:rsid w:val="003C7747"/>
    <w:rsid w:val="003E080E"/>
    <w:rsid w:val="003E4D0F"/>
    <w:rsid w:val="003E737D"/>
    <w:rsid w:val="004008D0"/>
    <w:rsid w:val="00402DA7"/>
    <w:rsid w:val="0042543D"/>
    <w:rsid w:val="004300C6"/>
    <w:rsid w:val="00434BE0"/>
    <w:rsid w:val="00436D49"/>
    <w:rsid w:val="00444F28"/>
    <w:rsid w:val="004565DF"/>
    <w:rsid w:val="0047773C"/>
    <w:rsid w:val="004813B8"/>
    <w:rsid w:val="00484A30"/>
    <w:rsid w:val="004863B4"/>
    <w:rsid w:val="00496E7C"/>
    <w:rsid w:val="004A27E8"/>
    <w:rsid w:val="004B1918"/>
    <w:rsid w:val="004C5F28"/>
    <w:rsid w:val="004C7339"/>
    <w:rsid w:val="004D2264"/>
    <w:rsid w:val="004D3A35"/>
    <w:rsid w:val="004D72A7"/>
    <w:rsid w:val="004E45F6"/>
    <w:rsid w:val="004F0C13"/>
    <w:rsid w:val="00531145"/>
    <w:rsid w:val="00542A8F"/>
    <w:rsid w:val="00567208"/>
    <w:rsid w:val="00571FC5"/>
    <w:rsid w:val="005B1DB1"/>
    <w:rsid w:val="005C2271"/>
    <w:rsid w:val="005D676F"/>
    <w:rsid w:val="005E1421"/>
    <w:rsid w:val="0060062E"/>
    <w:rsid w:val="006065DF"/>
    <w:rsid w:val="006101D4"/>
    <w:rsid w:val="00611C90"/>
    <w:rsid w:val="0062127C"/>
    <w:rsid w:val="0062474A"/>
    <w:rsid w:val="00633B7C"/>
    <w:rsid w:val="006371D8"/>
    <w:rsid w:val="00637B06"/>
    <w:rsid w:val="00661904"/>
    <w:rsid w:val="006639D1"/>
    <w:rsid w:val="0067303A"/>
    <w:rsid w:val="00673F86"/>
    <w:rsid w:val="006757F1"/>
    <w:rsid w:val="00681D59"/>
    <w:rsid w:val="00685DC4"/>
    <w:rsid w:val="00687A41"/>
    <w:rsid w:val="006942B9"/>
    <w:rsid w:val="0069435A"/>
    <w:rsid w:val="00695564"/>
    <w:rsid w:val="006A0B32"/>
    <w:rsid w:val="006C3AEB"/>
    <w:rsid w:val="006E5C65"/>
    <w:rsid w:val="006E60DE"/>
    <w:rsid w:val="00710224"/>
    <w:rsid w:val="00726DA8"/>
    <w:rsid w:val="007334F2"/>
    <w:rsid w:val="00735B0F"/>
    <w:rsid w:val="007403F6"/>
    <w:rsid w:val="00741420"/>
    <w:rsid w:val="007414BA"/>
    <w:rsid w:val="0074478A"/>
    <w:rsid w:val="00762F43"/>
    <w:rsid w:val="007A45C3"/>
    <w:rsid w:val="007A7415"/>
    <w:rsid w:val="007B179B"/>
    <w:rsid w:val="007C3D05"/>
    <w:rsid w:val="007D0234"/>
    <w:rsid w:val="007E0FAC"/>
    <w:rsid w:val="007E367B"/>
    <w:rsid w:val="00801A56"/>
    <w:rsid w:val="00812DBA"/>
    <w:rsid w:val="00817298"/>
    <w:rsid w:val="0082372E"/>
    <w:rsid w:val="00824AC9"/>
    <w:rsid w:val="00857F87"/>
    <w:rsid w:val="008600B6"/>
    <w:rsid w:val="00864465"/>
    <w:rsid w:val="00880A92"/>
    <w:rsid w:val="00896A02"/>
    <w:rsid w:val="008A65E0"/>
    <w:rsid w:val="008B4AD7"/>
    <w:rsid w:val="008C1CA1"/>
    <w:rsid w:val="008E41CC"/>
    <w:rsid w:val="008F3D96"/>
    <w:rsid w:val="008F575B"/>
    <w:rsid w:val="00905FF3"/>
    <w:rsid w:val="00961B28"/>
    <w:rsid w:val="00962E5F"/>
    <w:rsid w:val="0096311F"/>
    <w:rsid w:val="00964FCE"/>
    <w:rsid w:val="00996D5D"/>
    <w:rsid w:val="009B1ECC"/>
    <w:rsid w:val="009C5723"/>
    <w:rsid w:val="009D0ED1"/>
    <w:rsid w:val="009D2F12"/>
    <w:rsid w:val="009E6BE4"/>
    <w:rsid w:val="009F10D9"/>
    <w:rsid w:val="009F6B2E"/>
    <w:rsid w:val="00A0125B"/>
    <w:rsid w:val="00A222B7"/>
    <w:rsid w:val="00A25DCD"/>
    <w:rsid w:val="00A3372F"/>
    <w:rsid w:val="00A512AE"/>
    <w:rsid w:val="00A55C0F"/>
    <w:rsid w:val="00A90045"/>
    <w:rsid w:val="00A92D36"/>
    <w:rsid w:val="00AA6E0A"/>
    <w:rsid w:val="00AA6E33"/>
    <w:rsid w:val="00AC710E"/>
    <w:rsid w:val="00AD1751"/>
    <w:rsid w:val="00AF4BBB"/>
    <w:rsid w:val="00B0671B"/>
    <w:rsid w:val="00B17933"/>
    <w:rsid w:val="00B204AC"/>
    <w:rsid w:val="00B229DE"/>
    <w:rsid w:val="00B30946"/>
    <w:rsid w:val="00B4441B"/>
    <w:rsid w:val="00B45EBE"/>
    <w:rsid w:val="00B67D7C"/>
    <w:rsid w:val="00B77443"/>
    <w:rsid w:val="00B82A1D"/>
    <w:rsid w:val="00B93BE0"/>
    <w:rsid w:val="00B96053"/>
    <w:rsid w:val="00BA221F"/>
    <w:rsid w:val="00BA31F3"/>
    <w:rsid w:val="00BB117F"/>
    <w:rsid w:val="00BB5619"/>
    <w:rsid w:val="00BD0239"/>
    <w:rsid w:val="00BD1F11"/>
    <w:rsid w:val="00BD3AF4"/>
    <w:rsid w:val="00BE05BF"/>
    <w:rsid w:val="00BE1966"/>
    <w:rsid w:val="00BF3694"/>
    <w:rsid w:val="00BF7AAD"/>
    <w:rsid w:val="00C12A90"/>
    <w:rsid w:val="00C354BF"/>
    <w:rsid w:val="00C41856"/>
    <w:rsid w:val="00C4723C"/>
    <w:rsid w:val="00C63B2F"/>
    <w:rsid w:val="00C71578"/>
    <w:rsid w:val="00C87E64"/>
    <w:rsid w:val="00C9365E"/>
    <w:rsid w:val="00C97D31"/>
    <w:rsid w:val="00CA36A2"/>
    <w:rsid w:val="00CB06C6"/>
    <w:rsid w:val="00CB0ACB"/>
    <w:rsid w:val="00CB59B8"/>
    <w:rsid w:val="00CD6134"/>
    <w:rsid w:val="00CE1192"/>
    <w:rsid w:val="00CF14C0"/>
    <w:rsid w:val="00CF57BD"/>
    <w:rsid w:val="00D11D53"/>
    <w:rsid w:val="00D54404"/>
    <w:rsid w:val="00D56D81"/>
    <w:rsid w:val="00D70D76"/>
    <w:rsid w:val="00D74B20"/>
    <w:rsid w:val="00D81BF8"/>
    <w:rsid w:val="00D941A4"/>
    <w:rsid w:val="00DA2040"/>
    <w:rsid w:val="00DA3DA1"/>
    <w:rsid w:val="00DB245C"/>
    <w:rsid w:val="00DC046B"/>
    <w:rsid w:val="00DE6092"/>
    <w:rsid w:val="00DF15D5"/>
    <w:rsid w:val="00DF3843"/>
    <w:rsid w:val="00DF4220"/>
    <w:rsid w:val="00DF6886"/>
    <w:rsid w:val="00E02539"/>
    <w:rsid w:val="00E06DB7"/>
    <w:rsid w:val="00E153CE"/>
    <w:rsid w:val="00E247BE"/>
    <w:rsid w:val="00E26635"/>
    <w:rsid w:val="00E3089A"/>
    <w:rsid w:val="00E3683B"/>
    <w:rsid w:val="00E4067C"/>
    <w:rsid w:val="00E45F02"/>
    <w:rsid w:val="00E57BBB"/>
    <w:rsid w:val="00E612D7"/>
    <w:rsid w:val="00E64755"/>
    <w:rsid w:val="00E659ED"/>
    <w:rsid w:val="00E734DF"/>
    <w:rsid w:val="00E82F7D"/>
    <w:rsid w:val="00E8382D"/>
    <w:rsid w:val="00EC2780"/>
    <w:rsid w:val="00EC32A6"/>
    <w:rsid w:val="00EC74B7"/>
    <w:rsid w:val="00ED0683"/>
    <w:rsid w:val="00ED4189"/>
    <w:rsid w:val="00ED6EC3"/>
    <w:rsid w:val="00EF0882"/>
    <w:rsid w:val="00F21B2C"/>
    <w:rsid w:val="00F2563F"/>
    <w:rsid w:val="00F32557"/>
    <w:rsid w:val="00F3291F"/>
    <w:rsid w:val="00F3755C"/>
    <w:rsid w:val="00F473B9"/>
    <w:rsid w:val="00F50516"/>
    <w:rsid w:val="00F558D4"/>
    <w:rsid w:val="00F57292"/>
    <w:rsid w:val="00F6043A"/>
    <w:rsid w:val="00F64F49"/>
    <w:rsid w:val="00F75155"/>
    <w:rsid w:val="00FB0F78"/>
    <w:rsid w:val="00FB330A"/>
    <w:rsid w:val="00FC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404F7"/>
  <w15:docId w15:val="{A046CD95-4E26-4322-8E5E-0456498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96"/>
    <w:rPr>
      <w:sz w:val="24"/>
      <w:szCs w:val="24"/>
    </w:rPr>
  </w:style>
  <w:style w:type="paragraph" w:styleId="Heading2">
    <w:name w:val="heading 2"/>
    <w:basedOn w:val="Normal"/>
    <w:qFormat/>
    <w:rsid w:val="001A67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6754"/>
    <w:pPr>
      <w:spacing w:before="100" w:beforeAutospacing="1" w:after="100" w:afterAutospacing="1"/>
    </w:pPr>
  </w:style>
  <w:style w:type="character" w:styleId="Strong">
    <w:name w:val="Strong"/>
    <w:basedOn w:val="DefaultParagraphFont"/>
    <w:qFormat/>
    <w:rsid w:val="001A6754"/>
    <w:rPr>
      <w:b/>
      <w:bCs/>
    </w:rPr>
  </w:style>
  <w:style w:type="character" w:styleId="Emphasis">
    <w:name w:val="Emphasis"/>
    <w:basedOn w:val="DefaultParagraphFont"/>
    <w:qFormat/>
    <w:rsid w:val="001A6754"/>
    <w:rPr>
      <w:i/>
      <w:iCs/>
    </w:rPr>
  </w:style>
  <w:style w:type="character" w:styleId="Hyperlink">
    <w:name w:val="Hyperlink"/>
    <w:basedOn w:val="DefaultParagraphFont"/>
    <w:rsid w:val="001A6754"/>
    <w:rPr>
      <w:color w:val="0000FF"/>
      <w:u w:val="single"/>
    </w:rPr>
  </w:style>
  <w:style w:type="paragraph" w:styleId="Header">
    <w:name w:val="header"/>
    <w:basedOn w:val="Normal"/>
    <w:link w:val="HeaderChar"/>
    <w:uiPriority w:val="99"/>
    <w:unhideWhenUsed/>
    <w:rsid w:val="00B229DE"/>
    <w:pPr>
      <w:tabs>
        <w:tab w:val="center" w:pos="4513"/>
        <w:tab w:val="right" w:pos="9026"/>
      </w:tabs>
    </w:pPr>
  </w:style>
  <w:style w:type="character" w:customStyle="1" w:styleId="HeaderChar">
    <w:name w:val="Header Char"/>
    <w:basedOn w:val="DefaultParagraphFont"/>
    <w:link w:val="Header"/>
    <w:uiPriority w:val="99"/>
    <w:rsid w:val="00B229DE"/>
    <w:rPr>
      <w:sz w:val="24"/>
      <w:szCs w:val="24"/>
    </w:rPr>
  </w:style>
  <w:style w:type="paragraph" w:styleId="Footer">
    <w:name w:val="footer"/>
    <w:basedOn w:val="Normal"/>
    <w:link w:val="FooterChar"/>
    <w:uiPriority w:val="99"/>
    <w:unhideWhenUsed/>
    <w:rsid w:val="00B229DE"/>
    <w:pPr>
      <w:tabs>
        <w:tab w:val="center" w:pos="4513"/>
        <w:tab w:val="right" w:pos="9026"/>
      </w:tabs>
    </w:pPr>
  </w:style>
  <w:style w:type="character" w:customStyle="1" w:styleId="FooterChar">
    <w:name w:val="Footer Char"/>
    <w:basedOn w:val="DefaultParagraphFont"/>
    <w:link w:val="Footer"/>
    <w:uiPriority w:val="99"/>
    <w:rsid w:val="00B229DE"/>
    <w:rPr>
      <w:sz w:val="24"/>
      <w:szCs w:val="24"/>
    </w:rPr>
  </w:style>
  <w:style w:type="paragraph" w:styleId="BalloonText">
    <w:name w:val="Balloon Text"/>
    <w:basedOn w:val="Normal"/>
    <w:link w:val="BalloonTextChar"/>
    <w:uiPriority w:val="99"/>
    <w:semiHidden/>
    <w:unhideWhenUsed/>
    <w:rsid w:val="0096311F"/>
    <w:rPr>
      <w:rFonts w:ascii="Tahoma" w:hAnsi="Tahoma" w:cs="Tahoma"/>
      <w:sz w:val="16"/>
      <w:szCs w:val="16"/>
    </w:rPr>
  </w:style>
  <w:style w:type="character" w:customStyle="1" w:styleId="BalloonTextChar">
    <w:name w:val="Balloon Text Char"/>
    <w:basedOn w:val="DefaultParagraphFont"/>
    <w:link w:val="BalloonText"/>
    <w:uiPriority w:val="99"/>
    <w:semiHidden/>
    <w:rsid w:val="0096311F"/>
    <w:rPr>
      <w:rFonts w:ascii="Tahoma" w:hAnsi="Tahoma" w:cs="Tahoma"/>
      <w:sz w:val="16"/>
      <w:szCs w:val="16"/>
    </w:rPr>
  </w:style>
  <w:style w:type="table" w:styleId="TableGrid">
    <w:name w:val="Table Grid"/>
    <w:basedOn w:val="TableNormal"/>
    <w:uiPriority w:val="59"/>
    <w:rsid w:val="0031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4830"/>
    <w:rPr>
      <w:sz w:val="20"/>
      <w:szCs w:val="20"/>
    </w:rPr>
  </w:style>
  <w:style w:type="character" w:customStyle="1" w:styleId="FootnoteTextChar">
    <w:name w:val="Footnote Text Char"/>
    <w:basedOn w:val="DefaultParagraphFont"/>
    <w:link w:val="FootnoteText"/>
    <w:uiPriority w:val="99"/>
    <w:semiHidden/>
    <w:rsid w:val="00264830"/>
  </w:style>
  <w:style w:type="character" w:styleId="FootnoteReference">
    <w:name w:val="footnote reference"/>
    <w:basedOn w:val="DefaultParagraphFont"/>
    <w:uiPriority w:val="99"/>
    <w:semiHidden/>
    <w:unhideWhenUsed/>
    <w:rsid w:val="00264830"/>
    <w:rPr>
      <w:vertAlign w:val="superscript"/>
    </w:rPr>
  </w:style>
  <w:style w:type="character" w:styleId="FollowedHyperlink">
    <w:name w:val="FollowedHyperlink"/>
    <w:basedOn w:val="DefaultParagraphFont"/>
    <w:uiPriority w:val="99"/>
    <w:semiHidden/>
    <w:unhideWhenUsed/>
    <w:rsid w:val="00EC32A6"/>
    <w:rPr>
      <w:color w:val="800080" w:themeColor="followedHyperlink"/>
      <w:u w:val="single"/>
    </w:rPr>
  </w:style>
  <w:style w:type="character" w:styleId="CommentReference">
    <w:name w:val="annotation reference"/>
    <w:basedOn w:val="DefaultParagraphFont"/>
    <w:uiPriority w:val="99"/>
    <w:semiHidden/>
    <w:unhideWhenUsed/>
    <w:rsid w:val="00AA6E33"/>
    <w:rPr>
      <w:sz w:val="16"/>
      <w:szCs w:val="16"/>
    </w:rPr>
  </w:style>
  <w:style w:type="paragraph" w:styleId="CommentText">
    <w:name w:val="annotation text"/>
    <w:basedOn w:val="Normal"/>
    <w:link w:val="CommentTextChar"/>
    <w:uiPriority w:val="99"/>
    <w:unhideWhenUsed/>
    <w:rsid w:val="00AA6E33"/>
    <w:rPr>
      <w:sz w:val="20"/>
      <w:szCs w:val="20"/>
    </w:rPr>
  </w:style>
  <w:style w:type="character" w:customStyle="1" w:styleId="CommentTextChar">
    <w:name w:val="Comment Text Char"/>
    <w:basedOn w:val="DefaultParagraphFont"/>
    <w:link w:val="CommentText"/>
    <w:uiPriority w:val="99"/>
    <w:rsid w:val="00AA6E33"/>
  </w:style>
  <w:style w:type="paragraph" w:styleId="CommentSubject">
    <w:name w:val="annotation subject"/>
    <w:basedOn w:val="CommentText"/>
    <w:next w:val="CommentText"/>
    <w:link w:val="CommentSubjectChar"/>
    <w:uiPriority w:val="99"/>
    <w:semiHidden/>
    <w:unhideWhenUsed/>
    <w:rsid w:val="00AA6E33"/>
    <w:rPr>
      <w:b/>
      <w:bCs/>
    </w:rPr>
  </w:style>
  <w:style w:type="character" w:customStyle="1" w:styleId="CommentSubjectChar">
    <w:name w:val="Comment Subject Char"/>
    <w:basedOn w:val="CommentTextChar"/>
    <w:link w:val="CommentSubject"/>
    <w:uiPriority w:val="99"/>
    <w:semiHidden/>
    <w:rsid w:val="00AA6E33"/>
    <w:rPr>
      <w:b/>
      <w:bCs/>
    </w:rPr>
  </w:style>
  <w:style w:type="paragraph" w:styleId="ListParagraph">
    <w:name w:val="List Paragraph"/>
    <w:basedOn w:val="Normal"/>
    <w:uiPriority w:val="34"/>
    <w:qFormat/>
    <w:rsid w:val="00BD1F1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920">
      <w:bodyDiv w:val="1"/>
      <w:marLeft w:val="0"/>
      <w:marRight w:val="0"/>
      <w:marTop w:val="0"/>
      <w:marBottom w:val="0"/>
      <w:divBdr>
        <w:top w:val="none" w:sz="0" w:space="0" w:color="auto"/>
        <w:left w:val="none" w:sz="0" w:space="0" w:color="auto"/>
        <w:bottom w:val="none" w:sz="0" w:space="0" w:color="auto"/>
        <w:right w:val="none" w:sz="0" w:space="0" w:color="auto"/>
      </w:divBdr>
    </w:div>
    <w:div w:id="860122300">
      <w:bodyDiv w:val="1"/>
      <w:marLeft w:val="0"/>
      <w:marRight w:val="0"/>
      <w:marTop w:val="0"/>
      <w:marBottom w:val="0"/>
      <w:divBdr>
        <w:top w:val="none" w:sz="0" w:space="0" w:color="auto"/>
        <w:left w:val="none" w:sz="0" w:space="0" w:color="auto"/>
        <w:bottom w:val="none" w:sz="0" w:space="0" w:color="auto"/>
        <w:right w:val="none" w:sz="0" w:space="0" w:color="auto"/>
      </w:divBdr>
    </w:div>
    <w:div w:id="983048320">
      <w:bodyDiv w:val="1"/>
      <w:marLeft w:val="0"/>
      <w:marRight w:val="0"/>
      <w:marTop w:val="0"/>
      <w:marBottom w:val="0"/>
      <w:divBdr>
        <w:top w:val="none" w:sz="0" w:space="0" w:color="auto"/>
        <w:left w:val="none" w:sz="0" w:space="0" w:color="auto"/>
        <w:bottom w:val="none" w:sz="0" w:space="0" w:color="auto"/>
        <w:right w:val="none" w:sz="0" w:space="0" w:color="auto"/>
      </w:divBdr>
      <w:divsChild>
        <w:div w:id="922184196">
          <w:marLeft w:val="0"/>
          <w:marRight w:val="0"/>
          <w:marTop w:val="0"/>
          <w:marBottom w:val="0"/>
          <w:divBdr>
            <w:top w:val="none" w:sz="0" w:space="0" w:color="auto"/>
            <w:left w:val="none" w:sz="0" w:space="0" w:color="auto"/>
            <w:bottom w:val="none" w:sz="0" w:space="0" w:color="auto"/>
            <w:right w:val="none" w:sz="0" w:space="0" w:color="auto"/>
          </w:divBdr>
        </w:div>
      </w:divsChild>
    </w:div>
    <w:div w:id="1121190390">
      <w:bodyDiv w:val="1"/>
      <w:marLeft w:val="0"/>
      <w:marRight w:val="0"/>
      <w:marTop w:val="0"/>
      <w:marBottom w:val="0"/>
      <w:divBdr>
        <w:top w:val="none" w:sz="0" w:space="0" w:color="auto"/>
        <w:left w:val="none" w:sz="0" w:space="0" w:color="auto"/>
        <w:bottom w:val="none" w:sz="0" w:space="0" w:color="auto"/>
        <w:right w:val="none" w:sz="0" w:space="0" w:color="auto"/>
      </w:divBdr>
    </w:div>
    <w:div w:id="1163592559">
      <w:bodyDiv w:val="1"/>
      <w:marLeft w:val="0"/>
      <w:marRight w:val="0"/>
      <w:marTop w:val="0"/>
      <w:marBottom w:val="0"/>
      <w:divBdr>
        <w:top w:val="none" w:sz="0" w:space="0" w:color="auto"/>
        <w:left w:val="none" w:sz="0" w:space="0" w:color="auto"/>
        <w:bottom w:val="none" w:sz="0" w:space="0" w:color="auto"/>
        <w:right w:val="none" w:sz="0" w:space="0" w:color="auto"/>
      </w:divBdr>
    </w:div>
    <w:div w:id="1248923338">
      <w:bodyDiv w:val="1"/>
      <w:marLeft w:val="0"/>
      <w:marRight w:val="0"/>
      <w:marTop w:val="0"/>
      <w:marBottom w:val="0"/>
      <w:divBdr>
        <w:top w:val="none" w:sz="0" w:space="0" w:color="auto"/>
        <w:left w:val="none" w:sz="0" w:space="0" w:color="auto"/>
        <w:bottom w:val="none" w:sz="0" w:space="0" w:color="auto"/>
        <w:right w:val="none" w:sz="0" w:space="0" w:color="auto"/>
      </w:divBdr>
    </w:div>
    <w:div w:id="1824084131">
      <w:bodyDiv w:val="1"/>
      <w:marLeft w:val="0"/>
      <w:marRight w:val="0"/>
      <w:marTop w:val="0"/>
      <w:marBottom w:val="0"/>
      <w:divBdr>
        <w:top w:val="none" w:sz="0" w:space="0" w:color="auto"/>
        <w:left w:val="none" w:sz="0" w:space="0" w:color="auto"/>
        <w:bottom w:val="none" w:sz="0" w:space="0" w:color="auto"/>
        <w:right w:val="none" w:sz="0" w:space="0" w:color="auto"/>
      </w:divBdr>
    </w:div>
    <w:div w:id="20356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ebrand">
  <a:themeElements>
    <a:clrScheme name="Custom 3">
      <a:dk1>
        <a:sysClr val="windowText" lastClr="000000"/>
      </a:dk1>
      <a:lt1>
        <a:sysClr val="window" lastClr="FFFFFF"/>
      </a:lt1>
      <a:dk2>
        <a:srgbClr val="1F497D"/>
      </a:dk2>
      <a:lt2>
        <a:srgbClr val="EEECE1"/>
      </a:lt2>
      <a:accent1>
        <a:srgbClr val="002664"/>
      </a:accent1>
      <a:accent2>
        <a:srgbClr val="989B97"/>
      </a:accent2>
      <a:accent3>
        <a:srgbClr val="00B2A9"/>
      </a:accent3>
      <a:accent4>
        <a:srgbClr val="8D817B"/>
      </a:accent4>
      <a:accent5>
        <a:srgbClr val="747678"/>
      </a:accent5>
      <a:accent6>
        <a:srgbClr val="A7B8B4"/>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97D92-D575-43D1-8B39-A2A1BBE5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kelliot</dc:creator>
  <cp:lastModifiedBy>Tolly, Jemma</cp:lastModifiedBy>
  <cp:revision>3</cp:revision>
  <cp:lastPrinted>2020-06-15T14:17:00Z</cp:lastPrinted>
  <dcterms:created xsi:type="dcterms:W3CDTF">2023-08-08T11:01:00Z</dcterms:created>
  <dcterms:modified xsi:type="dcterms:W3CDTF">2023-08-08T11:02:00Z</dcterms:modified>
</cp:coreProperties>
</file>