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F4" w:rsidRPr="004120FC" w:rsidRDefault="00097DF4" w:rsidP="00097DF4">
      <w:pPr>
        <w:spacing w:after="0" w:line="240" w:lineRule="auto"/>
        <w:rPr>
          <w:rFonts w:ascii="Arial" w:eastAsia="Times New Roman" w:hAnsi="Arial" w:cs="Arial"/>
          <w:b/>
          <w:color w:val="231F20"/>
          <w:sz w:val="27"/>
          <w:u w:val="single"/>
        </w:rPr>
      </w:pPr>
      <w:r w:rsidRPr="004120FC">
        <w:rPr>
          <w:rFonts w:ascii="Arial" w:eastAsia="Times New Roman" w:hAnsi="Arial" w:cs="Arial"/>
          <w:b/>
          <w:color w:val="231F20"/>
          <w:sz w:val="27"/>
          <w:u w:val="single"/>
        </w:rPr>
        <w:t>Whole Life Costing (WLC)</w:t>
      </w:r>
    </w:p>
    <w:p w:rsidR="004120FC" w:rsidRPr="00097DF4" w:rsidRDefault="004120FC" w:rsidP="00097DF4">
      <w:pPr>
        <w:spacing w:after="0" w:line="240" w:lineRule="auto"/>
        <w:rPr>
          <w:rFonts w:ascii="Arial" w:eastAsia="Times New Roman" w:hAnsi="Arial" w:cs="Arial"/>
          <w:color w:val="000000"/>
          <w:sz w:val="24"/>
          <w:szCs w:val="24"/>
        </w:rPr>
      </w:pPr>
    </w:p>
    <w:p w:rsid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WLC takes account of the total costs of making or purchasing and then owning (or leasing), operating, maintaining and managing the requirement (including its end of life, whether that involves de-commissioning, disposal or re-sale) over a specified period of time. These costs are assessed to provide a rational comparison of alternative means of meeting the requirement.</w:t>
      </w:r>
    </w:p>
    <w:p w:rsidR="004120FC" w:rsidRPr="00097DF4" w:rsidRDefault="004120FC" w:rsidP="00097DF4">
      <w:pPr>
        <w:spacing w:after="0" w:line="240" w:lineRule="auto"/>
        <w:rPr>
          <w:rFonts w:ascii="Arial" w:eastAsia="Times New Roman" w:hAnsi="Arial" w:cs="Arial"/>
          <w:color w:val="000000"/>
          <w:sz w:val="24"/>
          <w:szCs w:val="24"/>
        </w:rPr>
      </w:pPr>
    </w:p>
    <w:p w:rsid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These costs can be as detailed as required but at the very least they should cover: </w:t>
      </w:r>
    </w:p>
    <w:p w:rsidR="004120FC" w:rsidRPr="00097DF4" w:rsidRDefault="004120FC" w:rsidP="00097DF4">
      <w:pPr>
        <w:spacing w:after="0" w:line="240" w:lineRule="auto"/>
        <w:rPr>
          <w:rFonts w:ascii="Arial" w:eastAsia="Times New Roman" w:hAnsi="Arial" w:cs="Arial"/>
          <w:color w:val="000000"/>
          <w:sz w:val="24"/>
          <w:szCs w:val="24"/>
        </w:rPr>
      </w:pPr>
    </w:p>
    <w:p w:rsidR="00097DF4" w:rsidRPr="00097DF4" w:rsidRDefault="00097DF4" w:rsidP="00097DF4">
      <w:pPr>
        <w:numPr>
          <w:ilvl w:val="0"/>
          <w:numId w:val="1"/>
        </w:num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 xml:space="preserve">Acquisition      </w:t>
      </w:r>
      <w:r w:rsidRPr="00097DF4">
        <w:rPr>
          <w:rFonts w:ascii="Arial" w:eastAsia="Times New Roman" w:hAnsi="Arial" w:cs="Arial"/>
          <w:color w:val="231F20"/>
          <w:sz w:val="24"/>
          <w:szCs w:val="24"/>
        </w:rPr>
        <w:t>(</w:t>
      </w:r>
      <w:proofErr w:type="spellStart"/>
      <w:r w:rsidRPr="00097DF4">
        <w:rPr>
          <w:rFonts w:ascii="Arial" w:eastAsia="Times New Roman" w:hAnsi="Arial" w:cs="Arial"/>
          <w:color w:val="231F20"/>
          <w:sz w:val="24"/>
          <w:szCs w:val="24"/>
        </w:rPr>
        <w:t>eg</w:t>
      </w:r>
      <w:proofErr w:type="spellEnd"/>
      <w:r w:rsidRPr="00097DF4">
        <w:rPr>
          <w:rFonts w:ascii="Arial" w:eastAsia="Times New Roman" w:hAnsi="Arial" w:cs="Arial"/>
          <w:color w:val="231F20"/>
          <w:sz w:val="24"/>
          <w:szCs w:val="24"/>
        </w:rPr>
        <w:t>. delivery costs, installation and commissioning costs)</w:t>
      </w:r>
    </w:p>
    <w:p w:rsidR="00097DF4" w:rsidRPr="00097DF4" w:rsidRDefault="00097DF4" w:rsidP="00097DF4">
      <w:pPr>
        <w:numPr>
          <w:ilvl w:val="0"/>
          <w:numId w:val="1"/>
        </w:num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Operating        </w:t>
      </w:r>
      <w:r w:rsidRPr="00097DF4">
        <w:rPr>
          <w:rFonts w:ascii="Arial" w:eastAsia="Times New Roman" w:hAnsi="Arial" w:cs="Arial"/>
          <w:color w:val="231F20"/>
          <w:sz w:val="24"/>
          <w:szCs w:val="24"/>
        </w:rPr>
        <w:t>(</w:t>
      </w:r>
      <w:proofErr w:type="spellStart"/>
      <w:r w:rsidRPr="00097DF4">
        <w:rPr>
          <w:rFonts w:ascii="Arial" w:eastAsia="Times New Roman" w:hAnsi="Arial" w:cs="Arial"/>
          <w:color w:val="231F20"/>
          <w:sz w:val="24"/>
          <w:szCs w:val="24"/>
        </w:rPr>
        <w:t>eg</w:t>
      </w:r>
      <w:proofErr w:type="spellEnd"/>
      <w:r w:rsidRPr="00097DF4">
        <w:rPr>
          <w:rFonts w:ascii="Arial" w:eastAsia="Times New Roman" w:hAnsi="Arial" w:cs="Arial"/>
          <w:color w:val="231F20"/>
          <w:sz w:val="24"/>
          <w:szCs w:val="24"/>
        </w:rPr>
        <w:t>. energy, spares &amp; costs of maintenance)</w:t>
      </w:r>
    </w:p>
    <w:p w:rsidR="00097DF4" w:rsidRPr="004120FC" w:rsidRDefault="00097DF4" w:rsidP="00097DF4">
      <w:pPr>
        <w:numPr>
          <w:ilvl w:val="0"/>
          <w:numId w:val="1"/>
        </w:num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 xml:space="preserve">End of life        </w:t>
      </w:r>
      <w:r w:rsidRPr="00097DF4">
        <w:rPr>
          <w:rFonts w:ascii="Arial" w:eastAsia="Times New Roman" w:hAnsi="Arial" w:cs="Arial"/>
          <w:color w:val="231F20"/>
          <w:sz w:val="24"/>
          <w:szCs w:val="24"/>
        </w:rPr>
        <w:t>(</w:t>
      </w:r>
      <w:proofErr w:type="spellStart"/>
      <w:r w:rsidRPr="00097DF4">
        <w:rPr>
          <w:rFonts w:ascii="Arial" w:eastAsia="Times New Roman" w:hAnsi="Arial" w:cs="Arial"/>
          <w:color w:val="231F20"/>
          <w:sz w:val="24"/>
          <w:szCs w:val="24"/>
        </w:rPr>
        <w:t>eg</w:t>
      </w:r>
      <w:proofErr w:type="spellEnd"/>
      <w:r w:rsidRPr="00097DF4">
        <w:rPr>
          <w:rFonts w:ascii="Arial" w:eastAsia="Times New Roman" w:hAnsi="Arial" w:cs="Arial"/>
          <w:b/>
          <w:bCs/>
          <w:color w:val="231F20"/>
          <w:sz w:val="24"/>
          <w:szCs w:val="24"/>
        </w:rPr>
        <w:t xml:space="preserve">. </w:t>
      </w:r>
      <w:r w:rsidRPr="00097DF4">
        <w:rPr>
          <w:rFonts w:ascii="Arial" w:eastAsia="Times New Roman" w:hAnsi="Arial" w:cs="Arial"/>
          <w:color w:val="231F20"/>
          <w:sz w:val="24"/>
          <w:szCs w:val="24"/>
        </w:rPr>
        <w:t>de-commissioning and removal costs)</w:t>
      </w:r>
    </w:p>
    <w:p w:rsidR="004120FC" w:rsidRPr="00097DF4" w:rsidRDefault="004120FC" w:rsidP="00097DF4">
      <w:pPr>
        <w:numPr>
          <w:ilvl w:val="0"/>
          <w:numId w:val="1"/>
        </w:numPr>
        <w:spacing w:after="0" w:line="240" w:lineRule="auto"/>
        <w:rPr>
          <w:rFonts w:ascii="Arial" w:eastAsia="Times New Roman" w:hAnsi="Arial" w:cs="Arial"/>
          <w:color w:val="000000"/>
          <w:sz w:val="24"/>
          <w:szCs w:val="24"/>
        </w:rPr>
      </w:pPr>
    </w:p>
    <w:p w:rsid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xml:space="preserve">There is no single approach to WLC.  The tools used to </w:t>
      </w:r>
      <w:proofErr w:type="spellStart"/>
      <w:r w:rsidRPr="00097DF4">
        <w:rPr>
          <w:rFonts w:ascii="Arial" w:eastAsia="Times New Roman" w:hAnsi="Arial" w:cs="Arial"/>
          <w:color w:val="000000"/>
          <w:sz w:val="24"/>
          <w:szCs w:val="24"/>
        </w:rPr>
        <w:t>analyse</w:t>
      </w:r>
      <w:proofErr w:type="spellEnd"/>
      <w:r w:rsidRPr="00097DF4">
        <w:rPr>
          <w:rFonts w:ascii="Arial" w:eastAsia="Times New Roman" w:hAnsi="Arial" w:cs="Arial"/>
          <w:color w:val="000000"/>
          <w:sz w:val="24"/>
          <w:szCs w:val="24"/>
        </w:rPr>
        <w:t xml:space="preserve"> </w:t>
      </w:r>
      <w:proofErr w:type="spellStart"/>
      <w:r w:rsidRPr="00097DF4">
        <w:rPr>
          <w:rFonts w:ascii="Arial" w:eastAsia="Times New Roman" w:hAnsi="Arial" w:cs="Arial"/>
          <w:color w:val="000000"/>
          <w:sz w:val="24"/>
          <w:szCs w:val="24"/>
        </w:rPr>
        <w:t>WLC</w:t>
      </w:r>
      <w:proofErr w:type="spellEnd"/>
      <w:r w:rsidRPr="00097DF4">
        <w:rPr>
          <w:rFonts w:ascii="Arial" w:eastAsia="Times New Roman" w:hAnsi="Arial" w:cs="Arial"/>
          <w:color w:val="000000"/>
          <w:sz w:val="24"/>
          <w:szCs w:val="24"/>
        </w:rPr>
        <w:t xml:space="preserve"> vary according to the requirement.  The suggested tools which are spreadsheet based are highlighted below</w:t>
      </w:r>
    </w:p>
    <w:p w:rsidR="004120FC" w:rsidRPr="00097DF4" w:rsidRDefault="004120FC" w:rsidP="00097DF4">
      <w:pPr>
        <w:spacing w:after="0" w:line="240" w:lineRule="auto"/>
        <w:rPr>
          <w:rFonts w:ascii="Arial" w:eastAsia="Times New Roman" w:hAnsi="Arial" w:cs="Arial"/>
          <w:color w:val="000000"/>
          <w:sz w:val="24"/>
          <w:szCs w:val="24"/>
        </w:rPr>
      </w:pP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80"/>
        <w:gridCol w:w="3690"/>
      </w:tblGrid>
      <w:tr w:rsidR="00097DF4" w:rsidRPr="00097DF4">
        <w:trPr>
          <w:tblCellSpacing w:w="0" w:type="dxa"/>
        </w:trPr>
        <w:tc>
          <w:tcPr>
            <w:tcW w:w="4080"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000000"/>
                <w:sz w:val="24"/>
                <w:szCs w:val="24"/>
              </w:rPr>
              <w:t>Tool</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000000"/>
                <w:sz w:val="24"/>
                <w:szCs w:val="24"/>
              </w:rPr>
              <w:t>Key Spending Areas/Thresholds</w:t>
            </w:r>
            <w:r w:rsidRPr="00097DF4">
              <w:rPr>
                <w:rFonts w:ascii="Arial" w:eastAsia="Times New Roman" w:hAnsi="Arial" w:cs="Arial"/>
                <w:color w:val="000000"/>
                <w:sz w:val="24"/>
                <w:szCs w:val="24"/>
              </w:rPr>
              <w:t xml:space="preserve"> </w:t>
            </w:r>
          </w:p>
        </w:tc>
      </w:tr>
      <w:tr w:rsidR="00097DF4" w:rsidRPr="00097DF4">
        <w:trPr>
          <w:tblCellSpacing w:w="0" w:type="dxa"/>
        </w:trPr>
        <w:tc>
          <w:tcPr>
            <w:tcW w:w="4080"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7B6093" w:rsidP="00097DF4">
            <w:pPr>
              <w:spacing w:after="0" w:line="240" w:lineRule="auto"/>
              <w:rPr>
                <w:rFonts w:ascii="Arial" w:eastAsia="Times New Roman" w:hAnsi="Arial" w:cs="Arial"/>
                <w:color w:val="000000"/>
                <w:sz w:val="24"/>
                <w:szCs w:val="24"/>
              </w:rPr>
            </w:pPr>
            <w:hyperlink r:id="rId5" w:history="1">
              <w:r w:rsidR="00097DF4" w:rsidRPr="00097DF4">
                <w:rPr>
                  <w:rFonts w:ascii="Arial" w:eastAsia="Times New Roman" w:hAnsi="Arial" w:cs="Arial"/>
                  <w:color w:val="0000FF"/>
                  <w:sz w:val="24"/>
                  <w:szCs w:val="24"/>
                  <w:u w:val="single"/>
                </w:rPr>
                <w:t>Hi-Value WLC Model</w:t>
              </w:r>
            </w:hyperlink>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Construction &amp; Hi Value Projects</w:t>
            </w:r>
          </w:p>
        </w:tc>
      </w:tr>
      <w:tr w:rsidR="00097DF4" w:rsidRPr="00097DF4">
        <w:trPr>
          <w:tblCellSpacing w:w="0" w:type="dxa"/>
        </w:trPr>
        <w:tc>
          <w:tcPr>
            <w:tcW w:w="4080"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7B6093" w:rsidP="00097DF4">
            <w:pPr>
              <w:spacing w:after="0" w:line="240" w:lineRule="auto"/>
              <w:rPr>
                <w:rFonts w:ascii="Arial" w:eastAsia="Times New Roman" w:hAnsi="Arial" w:cs="Arial"/>
                <w:color w:val="000000"/>
                <w:sz w:val="24"/>
                <w:szCs w:val="24"/>
              </w:rPr>
            </w:pPr>
            <w:hyperlink r:id="rId6" w:history="1">
              <w:r w:rsidR="00097DF4" w:rsidRPr="00097DF4">
                <w:rPr>
                  <w:rFonts w:ascii="Arial" w:eastAsia="Times New Roman" w:hAnsi="Arial" w:cs="Arial"/>
                  <w:color w:val="0000FF"/>
                  <w:sz w:val="24"/>
                  <w:szCs w:val="24"/>
                  <w:u w:val="single"/>
                </w:rPr>
                <w:t>Standard WLC Model</w:t>
              </w:r>
            </w:hyperlink>
            <w:r w:rsidR="00097DF4" w:rsidRPr="00097DF4">
              <w:rPr>
                <w:rFonts w:ascii="Arial" w:eastAsia="Times New Roman" w:hAnsi="Arial" w:cs="Arial"/>
                <w:color w:val="000000"/>
                <w:sz w:val="24"/>
                <w:szCs w:val="24"/>
              </w:rPr>
              <w:t xml:space="preserve"> </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5k and above (non Project)</w:t>
            </w:r>
          </w:p>
        </w:tc>
      </w:tr>
    </w:tbl>
    <w:p w:rsidR="004120FC" w:rsidRDefault="004120FC" w:rsidP="00097DF4">
      <w:pPr>
        <w:spacing w:after="0" w:line="240" w:lineRule="auto"/>
        <w:rPr>
          <w:rFonts w:ascii="Arial" w:eastAsia="Times New Roman" w:hAnsi="Arial" w:cs="Arial"/>
          <w:color w:val="000000"/>
          <w:sz w:val="24"/>
          <w:szCs w:val="24"/>
        </w:rPr>
      </w:pPr>
    </w:p>
    <w:p w:rsid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At its simplest level, a spreadsheet could be produced for the requirement with all the elements of cost individually listed along the rows and the suppliers listed down the columns.</w:t>
      </w:r>
    </w:p>
    <w:p w:rsidR="004120FC" w:rsidRPr="00097DF4" w:rsidRDefault="004120FC" w:rsidP="00097DF4">
      <w:pPr>
        <w:spacing w:after="0" w:line="240" w:lineRule="auto"/>
        <w:rPr>
          <w:rFonts w:ascii="Arial" w:eastAsia="Times New Roman" w:hAnsi="Arial" w:cs="Arial"/>
          <w:color w:val="000000"/>
          <w:sz w:val="24"/>
          <w:szCs w:val="24"/>
        </w:rPr>
      </w:pPr>
    </w:p>
    <w:p w:rsid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The benefits associated with WLC:</w:t>
      </w:r>
    </w:p>
    <w:p w:rsidR="004120FC" w:rsidRPr="00097DF4" w:rsidRDefault="004120FC" w:rsidP="00097DF4">
      <w:pPr>
        <w:spacing w:after="0" w:line="240" w:lineRule="auto"/>
        <w:rPr>
          <w:rFonts w:ascii="Arial" w:eastAsia="Times New Roman" w:hAnsi="Arial" w:cs="Arial"/>
          <w:color w:val="000000"/>
          <w:sz w:val="24"/>
          <w:szCs w:val="24"/>
        </w:rPr>
      </w:pP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14"/>
        <w:gridCol w:w="4626"/>
      </w:tblGrid>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Evaluation of competing options</w:t>
            </w:r>
            <w:r w:rsidRPr="00097DF4">
              <w:rPr>
                <w:rFonts w:ascii="Arial" w:eastAsia="Times New Roman" w:hAnsi="Arial" w:cs="Arial"/>
                <w:color w:val="000000"/>
                <w:sz w:val="24"/>
                <w:szCs w:val="24"/>
              </w:rPr>
              <w:t xml:space="preserve">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Improved awareness of total costs</w:t>
            </w:r>
            <w:r w:rsidRPr="00097DF4">
              <w:rPr>
                <w:rFonts w:ascii="Arial" w:eastAsia="Times New Roman" w:hAnsi="Arial" w:cs="Arial"/>
                <w:color w:val="000000"/>
                <w:sz w:val="24"/>
                <w:szCs w:val="24"/>
              </w:rPr>
              <w:t xml:space="preserve"> </w:t>
            </w:r>
          </w:p>
        </w:tc>
      </w:tr>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WLC is relevant to most equipment purchasing decisions, whether simple or complex. The technique is also applicable to leasing decisions.  Once WLC has been carried out bid proposals can be easily compared on a like for like basis.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WLC has been shown to provide buyers and decision-makers with a better grasp of the factors governing cost and the resources associated with the purchase.</w:t>
            </w:r>
          </w:p>
        </w:tc>
      </w:tr>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Better forecasting &amp; budget planning</w:t>
            </w:r>
            <w:r w:rsidRPr="00097DF4">
              <w:rPr>
                <w:rFonts w:ascii="Arial" w:eastAsia="Times New Roman" w:hAnsi="Arial" w:cs="Arial"/>
                <w:color w:val="000000"/>
                <w:sz w:val="24"/>
                <w:szCs w:val="24"/>
              </w:rPr>
              <w:t xml:space="preserve">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Performance trade-offs against cost</w:t>
            </w:r>
            <w:r w:rsidRPr="00097DF4">
              <w:rPr>
                <w:rFonts w:ascii="Arial" w:eastAsia="Times New Roman" w:hAnsi="Arial" w:cs="Arial"/>
                <w:color w:val="000000"/>
                <w:sz w:val="24"/>
                <w:szCs w:val="24"/>
              </w:rPr>
              <w:t xml:space="preserve"> </w:t>
            </w:r>
          </w:p>
        </w:tc>
      </w:tr>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WLC allows the full cost of a purchase over a period of time to be calculated with reasonable accuracy. This is obviously of considerable importance when major investment decisions need to be made.</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Using WLC it is relatively straightforward to assess the reliability characteristics of a piece of equipment in the context of its cost profile.</w:t>
            </w:r>
          </w:p>
        </w:tc>
      </w:tr>
    </w:tbl>
    <w:p w:rsidR="004120FC" w:rsidRDefault="004120FC" w:rsidP="00097DF4">
      <w:pPr>
        <w:spacing w:after="0" w:line="240" w:lineRule="auto"/>
        <w:rPr>
          <w:rFonts w:ascii="Arial" w:eastAsia="Times New Roman" w:hAnsi="Arial" w:cs="Arial"/>
          <w:color w:val="231F20"/>
          <w:sz w:val="24"/>
          <w:szCs w:val="24"/>
        </w:rPr>
      </w:pPr>
    </w:p>
    <w:p w:rsidR="004120FC" w:rsidRDefault="004120FC" w:rsidP="00097DF4">
      <w:pPr>
        <w:spacing w:after="0" w:line="240" w:lineRule="auto"/>
        <w:rPr>
          <w:rFonts w:ascii="Arial" w:eastAsia="Times New Roman" w:hAnsi="Arial" w:cs="Arial"/>
          <w:color w:val="231F20"/>
          <w:sz w:val="24"/>
          <w:szCs w:val="24"/>
        </w:rPr>
      </w:pPr>
    </w:p>
    <w:p w:rsidR="004120FC" w:rsidRDefault="004120FC" w:rsidP="00097DF4">
      <w:pPr>
        <w:spacing w:after="0" w:line="240" w:lineRule="auto"/>
        <w:rPr>
          <w:rFonts w:ascii="Arial" w:eastAsia="Times New Roman" w:hAnsi="Arial" w:cs="Arial"/>
          <w:color w:val="231F20"/>
          <w:sz w:val="24"/>
          <w:szCs w:val="24"/>
        </w:rPr>
      </w:pPr>
    </w:p>
    <w:p w:rsidR="00097DF4" w:rsidRDefault="00097DF4" w:rsidP="00097DF4">
      <w:pPr>
        <w:spacing w:after="0" w:line="240" w:lineRule="auto"/>
        <w:rPr>
          <w:rFonts w:ascii="Arial" w:eastAsia="Times New Roman" w:hAnsi="Arial" w:cs="Arial"/>
          <w:b/>
          <w:bCs/>
          <w:color w:val="231F20"/>
          <w:sz w:val="24"/>
          <w:szCs w:val="24"/>
        </w:rPr>
      </w:pPr>
      <w:r w:rsidRPr="00097DF4">
        <w:rPr>
          <w:rFonts w:ascii="Arial" w:eastAsia="Times New Roman" w:hAnsi="Arial" w:cs="Arial"/>
          <w:color w:val="231F20"/>
          <w:sz w:val="24"/>
          <w:szCs w:val="24"/>
        </w:rPr>
        <w:lastRenderedPageBreak/>
        <w:t>A more comprehensive breakdown of whole life costs:</w:t>
      </w:r>
      <w:r w:rsidRPr="00097DF4">
        <w:rPr>
          <w:rFonts w:ascii="Arial" w:eastAsia="Times New Roman" w:hAnsi="Arial" w:cs="Arial"/>
          <w:b/>
          <w:bCs/>
          <w:color w:val="231F20"/>
          <w:sz w:val="24"/>
          <w:szCs w:val="24"/>
        </w:rPr>
        <w:t> </w:t>
      </w:r>
    </w:p>
    <w:p w:rsidR="004120FC" w:rsidRPr="00097DF4" w:rsidRDefault="004120FC" w:rsidP="00097DF4">
      <w:pPr>
        <w:spacing w:after="0" w:line="240" w:lineRule="auto"/>
        <w:rPr>
          <w:rFonts w:ascii="Arial" w:eastAsia="Times New Roman" w:hAnsi="Arial" w:cs="Arial"/>
          <w:color w:val="000000"/>
          <w:sz w:val="24"/>
          <w:szCs w:val="24"/>
        </w:rPr>
      </w:pP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11"/>
        <w:gridCol w:w="4629"/>
      </w:tblGrid>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Pre-acquisition costs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Acquisition costs</w:t>
            </w:r>
          </w:p>
        </w:tc>
      </w:tr>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specification and design</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budget allocation</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preparation and issuing of invitation to tenders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cost of tender evaluation</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cost of letting contract</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preparation for receipt of the requirement</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professional external advice (</w:t>
            </w:r>
            <w:proofErr w:type="spellStart"/>
            <w:r w:rsidRPr="00097DF4">
              <w:rPr>
                <w:rFonts w:ascii="Arial" w:eastAsia="Times New Roman" w:hAnsi="Arial" w:cs="Arial"/>
                <w:color w:val="000000"/>
                <w:sz w:val="24"/>
                <w:szCs w:val="24"/>
              </w:rPr>
              <w:t>eg</w:t>
            </w:r>
            <w:proofErr w:type="spellEnd"/>
            <w:r w:rsidRPr="00097DF4">
              <w:rPr>
                <w:rFonts w:ascii="Arial" w:eastAsia="Times New Roman" w:hAnsi="Arial" w:cs="Arial"/>
                <w:color w:val="000000"/>
                <w:sz w:val="24"/>
                <w:szCs w:val="24"/>
              </w:rPr>
              <w:t>. legal)</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purchase price</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delivery charge</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insurance and taxes (inc. import duties, etc)</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installation and commissioning</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training and support</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internal costs associated with changing from the incumbent supplier (which should be identified prior to tenders being received)</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integration of systems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storage requirements</w:t>
            </w:r>
          </w:p>
        </w:tc>
      </w:tr>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Operating costs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Maintenance costs</w:t>
            </w:r>
          </w:p>
        </w:tc>
      </w:tr>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xml:space="preserve">• </w:t>
            </w:r>
            <w:proofErr w:type="spellStart"/>
            <w:r w:rsidRPr="00097DF4">
              <w:rPr>
                <w:rFonts w:ascii="Arial" w:eastAsia="Times New Roman" w:hAnsi="Arial" w:cs="Arial"/>
                <w:color w:val="000000"/>
                <w:sz w:val="24"/>
                <w:szCs w:val="24"/>
              </w:rPr>
              <w:t>labour</w:t>
            </w:r>
            <w:proofErr w:type="spellEnd"/>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materials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consumables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energy supply and consumption</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contract and supplier management</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transaction costs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environmental costs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cost of change, for instance, a decision to use</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alternative materials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xml:space="preserve">• specialist </w:t>
            </w:r>
            <w:proofErr w:type="spellStart"/>
            <w:r w:rsidRPr="00097DF4">
              <w:rPr>
                <w:rFonts w:ascii="Arial" w:eastAsia="Times New Roman" w:hAnsi="Arial" w:cs="Arial"/>
                <w:color w:val="000000"/>
                <w:sz w:val="24"/>
                <w:szCs w:val="24"/>
              </w:rPr>
              <w:t>labour</w:t>
            </w:r>
            <w:proofErr w:type="spellEnd"/>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specialist tooling</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spare and replacement parts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reduced output with age</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frequency of maintenance and recommended</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downtimes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servicing and inspection regimes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 </w:t>
            </w:r>
          </w:p>
        </w:tc>
      </w:tr>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Downtime costs</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End of life costs</w:t>
            </w:r>
          </w:p>
        </w:tc>
      </w:tr>
      <w:tr w:rsidR="00097DF4" w:rsidRPr="00097D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lost profits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extra costs of overtime or sub-contracting</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costs associated with breakdown of equipment</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claims resulting from non-performance</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b/>
                <w:bCs/>
                <w:color w:val="231F20"/>
                <w:sz w:val="24"/>
                <w:szCs w:val="24"/>
              </w:rPr>
              <w:t> </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safe disposal</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re-sale</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ongoing liabilities</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decommissioning</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removal for sale or scrap</w:t>
            </w:r>
          </w:p>
          <w:p w:rsidR="00097DF4" w:rsidRPr="00097DF4" w:rsidRDefault="00097DF4" w:rsidP="00097DF4">
            <w:pPr>
              <w:spacing w:after="0" w:line="240" w:lineRule="auto"/>
              <w:rPr>
                <w:rFonts w:ascii="Arial" w:eastAsia="Times New Roman" w:hAnsi="Arial" w:cs="Arial"/>
                <w:color w:val="000000"/>
                <w:sz w:val="24"/>
                <w:szCs w:val="24"/>
              </w:rPr>
            </w:pPr>
            <w:r w:rsidRPr="00097DF4">
              <w:rPr>
                <w:rFonts w:ascii="Arial" w:eastAsia="Times New Roman" w:hAnsi="Arial" w:cs="Arial"/>
                <w:color w:val="000000"/>
                <w:sz w:val="24"/>
                <w:szCs w:val="24"/>
              </w:rPr>
              <w:t>• re-instatement of land or buildings for alternative use</w:t>
            </w:r>
          </w:p>
        </w:tc>
      </w:tr>
    </w:tbl>
    <w:p w:rsidR="0076164A" w:rsidRDefault="0076164A"/>
    <w:sectPr w:rsidR="0076164A" w:rsidSect="007616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A860A45"/>
    <w:multiLevelType w:val="multilevel"/>
    <w:tmpl w:val="6562E6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DF4"/>
    <w:rsid w:val="00097DF4"/>
    <w:rsid w:val="004120FC"/>
    <w:rsid w:val="0076164A"/>
    <w:rsid w:val="007B6093"/>
    <w:rsid w:val="00EC1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7DF4"/>
    <w:rPr>
      <w:b/>
      <w:bCs/>
    </w:rPr>
  </w:style>
  <w:style w:type="character" w:customStyle="1" w:styleId="style11">
    <w:name w:val="style11"/>
    <w:basedOn w:val="DefaultParagraphFont"/>
    <w:rsid w:val="00097DF4"/>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exeter.ac.uk/corporate/procurement/downloads/documents/6.11-ITT_RFQs_WLC_Model_5k_above_nonprojects_v1_RP.xls" TargetMode="External"/><Relationship Id="rId5" Type="http://schemas.openxmlformats.org/officeDocument/2006/relationships/hyperlink" Target="http://admin.exeter.ac.uk/corporate/procurement/downloads/documents/6.12-ITT_RFQs_WLC_Model_Hi-Value_v1_RP.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rp234</dc:creator>
  <cp:keywords/>
  <dc:description/>
  <cp:lastModifiedBy>jr353</cp:lastModifiedBy>
  <cp:revision>2</cp:revision>
  <dcterms:created xsi:type="dcterms:W3CDTF">2012-05-24T14:42:00Z</dcterms:created>
  <dcterms:modified xsi:type="dcterms:W3CDTF">2012-05-24T14:42:00Z</dcterms:modified>
</cp:coreProperties>
</file>