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9539" w14:textId="77777777" w:rsidR="0089116A" w:rsidRDefault="00FF226C" w:rsidP="0089116A">
      <w:pPr>
        <w:pStyle w:val="Heading1"/>
        <w:tabs>
          <w:tab w:val="right" w:pos="9000"/>
        </w:tabs>
        <w:ind w:left="0" w:firstLine="0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tab/>
      </w:r>
    </w:p>
    <w:p w14:paraId="5A36953A" w14:textId="77777777" w:rsidR="0089116A" w:rsidRDefault="0089116A" w:rsidP="0089116A"/>
    <w:p w14:paraId="5A36953B" w14:textId="77777777" w:rsidR="0089116A" w:rsidRPr="0089116A" w:rsidRDefault="0089116A" w:rsidP="0089116A">
      <w:pPr>
        <w:rPr>
          <w:b/>
        </w:rPr>
      </w:pPr>
      <w:r w:rsidRPr="0089116A">
        <w:rPr>
          <w:b/>
        </w:rPr>
        <w:t>Terms of Reference</w:t>
      </w:r>
    </w:p>
    <w:p w14:paraId="5A36953C" w14:textId="77777777" w:rsidR="009605BE" w:rsidRPr="00447890" w:rsidRDefault="009605BE" w:rsidP="00BC3161">
      <w:pPr>
        <w:pStyle w:val="Heading1"/>
        <w:ind w:left="0" w:firstLine="0"/>
        <w:rPr>
          <w:b w:val="0"/>
          <w:bCs/>
          <w:i w:val="0"/>
          <w:iCs/>
          <w:sz w:val="20"/>
          <w:szCs w:val="20"/>
          <w:u w:val="single"/>
        </w:rPr>
      </w:pPr>
    </w:p>
    <w:p w14:paraId="5A36953D" w14:textId="77777777" w:rsidR="009605BE" w:rsidRPr="00447890" w:rsidRDefault="00BC3161" w:rsidP="00A12282">
      <w:pPr>
        <w:numPr>
          <w:ilvl w:val="0"/>
          <w:numId w:val="5"/>
        </w:numPr>
        <w:ind w:left="360"/>
        <w:jc w:val="both"/>
        <w:rPr>
          <w:rFonts w:cs="Arial"/>
          <w:szCs w:val="20"/>
        </w:rPr>
      </w:pPr>
      <w:r w:rsidRPr="00447890">
        <w:rPr>
          <w:rFonts w:cs="Arial"/>
          <w:b/>
          <w:szCs w:val="20"/>
        </w:rPr>
        <w:t>Definition of terms</w:t>
      </w:r>
    </w:p>
    <w:p w14:paraId="5A36953E" w14:textId="77777777" w:rsidR="00C16202" w:rsidRPr="00447890" w:rsidRDefault="00C16202" w:rsidP="00C16202">
      <w:pPr>
        <w:jc w:val="both"/>
        <w:rPr>
          <w:rFonts w:cs="Arial"/>
          <w:szCs w:val="20"/>
        </w:rPr>
      </w:pPr>
    </w:p>
    <w:p w14:paraId="5A36953F" w14:textId="77777777" w:rsidR="00E600E8" w:rsidRPr="00447890" w:rsidRDefault="004B0222" w:rsidP="000927DF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  <w:r>
        <w:rPr>
          <w:rFonts w:cs="Arial"/>
          <w:b/>
          <w:bCs/>
          <w:szCs w:val="20"/>
          <w:lang w:eastAsia="en-GB"/>
        </w:rPr>
        <w:t>Research Ethics Committee</w:t>
      </w:r>
    </w:p>
    <w:p w14:paraId="5A369540" w14:textId="77777777" w:rsidR="00A5044B" w:rsidRPr="00447890" w:rsidRDefault="00A5044B" w:rsidP="000927DF">
      <w:pPr>
        <w:jc w:val="both"/>
        <w:rPr>
          <w:rFonts w:cs="Arial"/>
          <w:szCs w:val="20"/>
        </w:rPr>
      </w:pPr>
      <w:r w:rsidRPr="00447890">
        <w:rPr>
          <w:rFonts w:cs="Arial"/>
          <w:szCs w:val="20"/>
        </w:rPr>
        <w:t xml:space="preserve">The University has established </w:t>
      </w:r>
      <w:r w:rsidR="004B0222">
        <w:rPr>
          <w:rFonts w:cs="Arial"/>
          <w:szCs w:val="20"/>
        </w:rPr>
        <w:t>Research Ethics Committees (RECs) under its Research Ethics Framework (link).</w:t>
      </w:r>
      <w:r w:rsidRPr="00447890">
        <w:rPr>
          <w:rFonts w:cs="Arial"/>
          <w:szCs w:val="20"/>
        </w:rPr>
        <w:t xml:space="preserve">  The aims of the ethical review process are:</w:t>
      </w:r>
    </w:p>
    <w:p w14:paraId="5A369541" w14:textId="77777777" w:rsidR="00A5044B" w:rsidRPr="00447890" w:rsidRDefault="00A5044B" w:rsidP="000927DF">
      <w:pPr>
        <w:jc w:val="both"/>
        <w:rPr>
          <w:rFonts w:cs="Arial"/>
          <w:szCs w:val="20"/>
        </w:rPr>
      </w:pPr>
    </w:p>
    <w:p w14:paraId="5A369542" w14:textId="77777777" w:rsidR="005B3283" w:rsidRDefault="005B3283" w:rsidP="000927D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To facilitate research and maintain the highest ethical standards in research practice</w:t>
      </w:r>
    </w:p>
    <w:p w14:paraId="5A369543" w14:textId="77777777" w:rsidR="005B3283" w:rsidRDefault="005B3283" w:rsidP="000927D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To protect the safety, dignity, welfare and wellbeing of research participants</w:t>
      </w:r>
    </w:p>
    <w:p w14:paraId="5A369544" w14:textId="77777777" w:rsidR="00A34A15" w:rsidRDefault="005B3283" w:rsidP="000927D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To protect researchers from harm or unjustified criticism</w:t>
      </w:r>
    </w:p>
    <w:p w14:paraId="5A369545" w14:textId="77777777" w:rsidR="005B3283" w:rsidRPr="00447890" w:rsidRDefault="005B3283" w:rsidP="000927DF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cs="Arial"/>
          <w:szCs w:val="20"/>
        </w:rPr>
      </w:pPr>
      <w:r>
        <w:rPr>
          <w:rFonts w:cs="Arial"/>
          <w:szCs w:val="20"/>
        </w:rPr>
        <w:t>To take account of legitimate interests of individuals, groups and communities and to provide reassurance to the public</w:t>
      </w:r>
    </w:p>
    <w:p w14:paraId="5A369546" w14:textId="77777777" w:rsidR="00A34A15" w:rsidRPr="00447890" w:rsidRDefault="00A34A15" w:rsidP="000927DF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5A369547" w14:textId="77777777" w:rsidR="005B3283" w:rsidRDefault="00447890" w:rsidP="005B3283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bCs/>
          <w:szCs w:val="20"/>
          <w:lang w:eastAsia="en-GB"/>
        </w:rPr>
      </w:pPr>
      <w:r>
        <w:rPr>
          <w:rFonts w:cs="Arial"/>
          <w:b/>
          <w:bCs/>
          <w:szCs w:val="20"/>
          <w:lang w:eastAsia="en-GB"/>
        </w:rPr>
        <w:t xml:space="preserve">The role </w:t>
      </w:r>
      <w:r w:rsidR="004B0222">
        <w:rPr>
          <w:rFonts w:cs="Arial"/>
          <w:b/>
          <w:bCs/>
          <w:szCs w:val="20"/>
          <w:lang w:eastAsia="en-GB"/>
        </w:rPr>
        <w:t xml:space="preserve">and remit </w:t>
      </w:r>
      <w:r>
        <w:rPr>
          <w:rFonts w:cs="Arial"/>
          <w:b/>
          <w:bCs/>
          <w:szCs w:val="20"/>
          <w:lang w:eastAsia="en-GB"/>
        </w:rPr>
        <w:t xml:space="preserve">of the </w:t>
      </w:r>
      <w:r w:rsidR="004B0222">
        <w:rPr>
          <w:rFonts w:cs="Arial"/>
          <w:b/>
          <w:bCs/>
          <w:szCs w:val="20"/>
          <w:lang w:eastAsia="en-GB"/>
        </w:rPr>
        <w:t>Research Ethics Committee</w:t>
      </w:r>
    </w:p>
    <w:p w14:paraId="5A369548" w14:textId="77777777" w:rsidR="005B3283" w:rsidRDefault="005B3283" w:rsidP="005B328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</w:p>
    <w:p w14:paraId="5A369549" w14:textId="77777777" w:rsidR="005B3283" w:rsidRPr="005B3283" w:rsidRDefault="005B3283" w:rsidP="005B3283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bCs/>
          <w:szCs w:val="20"/>
          <w:lang w:eastAsia="en-GB"/>
        </w:rPr>
      </w:pPr>
      <w:r w:rsidRPr="005B3283">
        <w:rPr>
          <w:rFonts w:cs="Arial"/>
          <w:bCs/>
          <w:szCs w:val="20"/>
          <w:lang w:eastAsia="en-GB"/>
        </w:rPr>
        <w:t xml:space="preserve">The [NAME] REC </w:t>
      </w:r>
      <w:r>
        <w:rPr>
          <w:rFonts w:cs="Arial"/>
          <w:bCs/>
          <w:szCs w:val="20"/>
          <w:lang w:eastAsia="en-GB"/>
        </w:rPr>
        <w:t xml:space="preserve">reviews applications </w:t>
      </w:r>
      <w:r w:rsidR="007D208D">
        <w:rPr>
          <w:rFonts w:cs="Arial"/>
          <w:bCs/>
          <w:szCs w:val="20"/>
          <w:lang w:eastAsia="en-GB"/>
        </w:rPr>
        <w:t xml:space="preserve">primarily </w:t>
      </w:r>
      <w:r>
        <w:rPr>
          <w:rFonts w:cs="Arial"/>
          <w:bCs/>
          <w:szCs w:val="20"/>
          <w:lang w:eastAsia="en-GB"/>
        </w:rPr>
        <w:t>from [discipline/research area/theme]</w:t>
      </w:r>
    </w:p>
    <w:p w14:paraId="5A36954A" w14:textId="77777777" w:rsidR="00447890" w:rsidRDefault="00447890" w:rsidP="00447890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</w:p>
    <w:p w14:paraId="5A36954B" w14:textId="77777777" w:rsidR="00A34A15" w:rsidRPr="00447890" w:rsidRDefault="00A34A15" w:rsidP="00447890">
      <w:pPr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  <w:r w:rsidRPr="00447890">
        <w:rPr>
          <w:rFonts w:cs="Arial"/>
          <w:b/>
          <w:bCs/>
          <w:szCs w:val="20"/>
          <w:lang w:eastAsia="en-GB"/>
        </w:rPr>
        <w:t xml:space="preserve">Minimum tasks of the </w:t>
      </w:r>
      <w:r w:rsidR="004B0222">
        <w:rPr>
          <w:rFonts w:cs="Arial"/>
          <w:b/>
          <w:bCs/>
          <w:szCs w:val="20"/>
          <w:lang w:eastAsia="en-GB"/>
        </w:rPr>
        <w:t>REC</w:t>
      </w:r>
    </w:p>
    <w:p w14:paraId="5A36954C" w14:textId="77777777" w:rsidR="00C860BA" w:rsidRDefault="00C860BA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Receive details of research with ethics implications</w:t>
      </w:r>
    </w:p>
    <w:p w14:paraId="5A36954D" w14:textId="77777777" w:rsidR="00A34A15" w:rsidRDefault="00C860BA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Consider such research and to provide an ethical opinion according to the Standard Operating Procedure; to advise on the basis of such opinions</w:t>
      </w:r>
    </w:p>
    <w:p w14:paraId="5A36954E" w14:textId="77777777" w:rsidR="007B25F3" w:rsidRDefault="007B25F3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Identify projects to be audited and receive reports resulting from audit of selected projects; follow up to ensure actions addressed</w:t>
      </w:r>
    </w:p>
    <w:p w14:paraId="5A36954F" w14:textId="77777777" w:rsidR="00C860BA" w:rsidRDefault="00F660F2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Report complaints and adverse events as required by University procedure</w:t>
      </w:r>
    </w:p>
    <w:p w14:paraId="5A369550" w14:textId="77777777" w:rsidR="00E05AD0" w:rsidRDefault="00E05AD0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Referral to other committees</w:t>
      </w:r>
    </w:p>
    <w:p w14:paraId="5A369551" w14:textId="77777777" w:rsidR="00A34A15" w:rsidRPr="00447890" w:rsidRDefault="00A34A15" w:rsidP="000927DF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5A369552" w14:textId="77777777" w:rsidR="00A34A15" w:rsidRPr="00447890" w:rsidRDefault="00A34A15" w:rsidP="000927DF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  <w:r w:rsidRPr="00447890">
        <w:rPr>
          <w:rFonts w:cs="Arial"/>
          <w:b/>
          <w:bCs/>
          <w:szCs w:val="20"/>
          <w:lang w:eastAsia="en-GB"/>
        </w:rPr>
        <w:t>Additional tasks</w:t>
      </w:r>
      <w:r w:rsidR="00BC3161" w:rsidRPr="00447890">
        <w:rPr>
          <w:rFonts w:cs="Arial"/>
          <w:b/>
          <w:bCs/>
          <w:szCs w:val="20"/>
          <w:lang w:eastAsia="en-GB"/>
        </w:rPr>
        <w:t xml:space="preserve"> of the </w:t>
      </w:r>
      <w:r w:rsidR="004B0222">
        <w:rPr>
          <w:rFonts w:cs="Arial"/>
          <w:b/>
          <w:bCs/>
          <w:szCs w:val="20"/>
          <w:lang w:eastAsia="en-GB"/>
        </w:rPr>
        <w:t>REC</w:t>
      </w:r>
    </w:p>
    <w:p w14:paraId="5A369553" w14:textId="77777777" w:rsidR="0034022D" w:rsidRDefault="004B0222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Advise</w:t>
      </w:r>
      <w:r w:rsidR="0034022D">
        <w:rPr>
          <w:rFonts w:cs="Arial"/>
          <w:szCs w:val="20"/>
          <w:lang w:eastAsia="en-GB"/>
        </w:rPr>
        <w:t xml:space="preserve"> researchers on</w:t>
      </w:r>
      <w:r w:rsidR="00F660F2">
        <w:rPr>
          <w:rFonts w:cs="Arial"/>
          <w:szCs w:val="20"/>
          <w:lang w:eastAsia="en-GB"/>
        </w:rPr>
        <w:t xml:space="preserve"> ethical matters for</w:t>
      </w:r>
      <w:r w:rsidR="0034022D">
        <w:rPr>
          <w:rFonts w:cs="Arial"/>
          <w:szCs w:val="20"/>
          <w:lang w:eastAsia="en-GB"/>
        </w:rPr>
        <w:t xml:space="preserve"> applications and proposals for new projects</w:t>
      </w:r>
    </w:p>
    <w:p w14:paraId="5A369554" w14:textId="77777777" w:rsidR="00A34A15" w:rsidRDefault="0034022D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Advise researchers on ethical issues and changing implications during projects</w:t>
      </w:r>
      <w:r w:rsidR="004B0222">
        <w:rPr>
          <w:rFonts w:cs="Arial"/>
          <w:szCs w:val="20"/>
          <w:lang w:eastAsia="en-GB"/>
        </w:rPr>
        <w:t xml:space="preserve"> </w:t>
      </w:r>
    </w:p>
    <w:p w14:paraId="5A369555" w14:textId="77777777" w:rsidR="007D208D" w:rsidRPr="00447890" w:rsidRDefault="007D208D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Contribute to reviews carried out by other RECs, either by facilitating cross-referral or co-opting members</w:t>
      </w:r>
    </w:p>
    <w:p w14:paraId="5A369556" w14:textId="77777777" w:rsidR="00A34A15" w:rsidRPr="00447890" w:rsidRDefault="000927DF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 w:rsidRPr="00447890">
        <w:rPr>
          <w:rFonts w:cs="Arial"/>
          <w:szCs w:val="20"/>
          <w:lang w:eastAsia="en-GB"/>
        </w:rPr>
        <w:t>P</w:t>
      </w:r>
      <w:r w:rsidR="00A34A15" w:rsidRPr="00447890">
        <w:rPr>
          <w:rFonts w:cs="Arial"/>
          <w:szCs w:val="20"/>
          <w:lang w:eastAsia="en-GB"/>
        </w:rPr>
        <w:t>romote awarenes</w:t>
      </w:r>
      <w:r w:rsidRPr="00447890">
        <w:rPr>
          <w:rFonts w:cs="Arial"/>
          <w:szCs w:val="20"/>
          <w:lang w:eastAsia="en-GB"/>
        </w:rPr>
        <w:t>s of animal welfare and the 3Rs</w:t>
      </w:r>
      <w:r w:rsidR="004B0222">
        <w:rPr>
          <w:rFonts w:cs="Arial"/>
          <w:szCs w:val="20"/>
          <w:lang w:eastAsia="en-GB"/>
        </w:rPr>
        <w:t xml:space="preserve"> following guidance from the University’s Animal Welfare and Ethical Review Board</w:t>
      </w:r>
    </w:p>
    <w:p w14:paraId="5A369557" w14:textId="77777777" w:rsidR="00A34A15" w:rsidRPr="004B0222" w:rsidRDefault="000927DF" w:rsidP="004B022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 w:rsidRPr="00447890">
        <w:rPr>
          <w:rFonts w:cs="Arial"/>
          <w:szCs w:val="20"/>
          <w:lang w:eastAsia="en-GB"/>
        </w:rPr>
        <w:t>P</w:t>
      </w:r>
      <w:r w:rsidR="00A34A15" w:rsidRPr="00447890">
        <w:rPr>
          <w:rFonts w:cs="Arial"/>
          <w:szCs w:val="20"/>
          <w:lang w:eastAsia="en-GB"/>
        </w:rPr>
        <w:t xml:space="preserve">rovide a forum for discussion and development of ethical advice </w:t>
      </w:r>
    </w:p>
    <w:p w14:paraId="5A369558" w14:textId="77777777" w:rsidR="00A34A15" w:rsidRPr="00447890" w:rsidRDefault="000927DF" w:rsidP="000927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 w:rsidRPr="00447890">
        <w:rPr>
          <w:rFonts w:cs="Arial"/>
          <w:szCs w:val="20"/>
          <w:lang w:eastAsia="en-GB"/>
        </w:rPr>
        <w:t>H</w:t>
      </w:r>
      <w:r w:rsidR="00A34A15" w:rsidRPr="00447890">
        <w:rPr>
          <w:rFonts w:cs="Arial"/>
          <w:szCs w:val="20"/>
          <w:lang w:eastAsia="en-GB"/>
        </w:rPr>
        <w:t xml:space="preserve">elp to promote a </w:t>
      </w:r>
      <w:r w:rsidR="004B0222">
        <w:rPr>
          <w:rFonts w:cs="Arial"/>
          <w:szCs w:val="20"/>
          <w:lang w:eastAsia="en-GB"/>
        </w:rPr>
        <w:t>culture of integrity</w:t>
      </w:r>
      <w:r w:rsidR="00A34A15" w:rsidRPr="00447890">
        <w:rPr>
          <w:rFonts w:cs="Arial"/>
          <w:szCs w:val="20"/>
          <w:lang w:eastAsia="en-GB"/>
        </w:rPr>
        <w:t xml:space="preserve"> </w:t>
      </w:r>
      <w:r w:rsidR="004B0222">
        <w:rPr>
          <w:rFonts w:cs="Arial"/>
          <w:szCs w:val="20"/>
          <w:lang w:eastAsia="en-GB"/>
        </w:rPr>
        <w:t xml:space="preserve">and good practice in research </w:t>
      </w:r>
      <w:r w:rsidR="00A34A15" w:rsidRPr="00447890">
        <w:rPr>
          <w:rFonts w:cs="Arial"/>
          <w:szCs w:val="20"/>
          <w:lang w:eastAsia="en-GB"/>
        </w:rPr>
        <w:t xml:space="preserve">within the </w:t>
      </w:r>
      <w:r w:rsidR="004B0222">
        <w:rPr>
          <w:rFonts w:cs="Arial"/>
          <w:szCs w:val="20"/>
          <w:lang w:eastAsia="en-GB"/>
        </w:rPr>
        <w:t>University and wider community</w:t>
      </w:r>
    </w:p>
    <w:p w14:paraId="5A369559" w14:textId="77777777" w:rsidR="00A34A15" w:rsidRDefault="00A34A15" w:rsidP="000927DF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5A36955A" w14:textId="77777777" w:rsidR="001D51EA" w:rsidRPr="00447890" w:rsidRDefault="001D51EA" w:rsidP="001D51EA">
      <w:pPr>
        <w:jc w:val="both"/>
        <w:rPr>
          <w:rFonts w:cs="Arial"/>
          <w:szCs w:val="20"/>
        </w:rPr>
      </w:pPr>
      <w:r w:rsidRPr="00447890">
        <w:rPr>
          <w:rFonts w:cs="Arial"/>
          <w:szCs w:val="20"/>
        </w:rPr>
        <w:t xml:space="preserve">It is expected that the </w:t>
      </w:r>
      <w:r>
        <w:rPr>
          <w:rFonts w:cs="Arial"/>
          <w:szCs w:val="20"/>
        </w:rPr>
        <w:t>REC</w:t>
      </w:r>
      <w:r w:rsidRPr="00447890">
        <w:rPr>
          <w:rFonts w:cs="Arial"/>
          <w:szCs w:val="20"/>
        </w:rPr>
        <w:t xml:space="preserve"> will meet at least </w:t>
      </w:r>
      <w:r w:rsidR="00F660F2">
        <w:rPr>
          <w:rFonts w:cs="Arial"/>
          <w:szCs w:val="20"/>
        </w:rPr>
        <w:t>[</w:t>
      </w:r>
      <w:r w:rsidR="00F660F2" w:rsidRPr="00F660F2">
        <w:rPr>
          <w:rFonts w:cs="Arial"/>
          <w:i/>
          <w:szCs w:val="20"/>
        </w:rPr>
        <w:t>to be completed by REC, minimum expectation of two</w:t>
      </w:r>
      <w:r>
        <w:rPr>
          <w:rFonts w:cs="Arial"/>
          <w:szCs w:val="20"/>
        </w:rPr>
        <w:t>]</w:t>
      </w:r>
      <w:r w:rsidRPr="00447890">
        <w:rPr>
          <w:rFonts w:cs="Arial"/>
          <w:szCs w:val="20"/>
        </w:rPr>
        <w:t xml:space="preserve"> times per year, with additional meetings if required under exceptional circumstances.</w:t>
      </w:r>
    </w:p>
    <w:p w14:paraId="5A36955B" w14:textId="77777777" w:rsidR="001D51EA" w:rsidRDefault="001D51EA" w:rsidP="000927DF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5A36955C" w14:textId="77777777" w:rsidR="00A34A15" w:rsidRPr="00447890" w:rsidRDefault="00A34A15" w:rsidP="000927DF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  <w:lang w:eastAsia="en-GB"/>
        </w:rPr>
      </w:pPr>
      <w:r w:rsidRPr="00447890">
        <w:rPr>
          <w:rFonts w:cs="Arial"/>
          <w:b/>
          <w:bCs/>
          <w:szCs w:val="20"/>
          <w:lang w:eastAsia="en-GB"/>
        </w:rPr>
        <w:t>Record keeping</w:t>
      </w:r>
      <w:r w:rsidR="00447890">
        <w:rPr>
          <w:rFonts w:cs="Arial"/>
          <w:b/>
          <w:bCs/>
          <w:szCs w:val="20"/>
          <w:lang w:eastAsia="en-GB"/>
        </w:rPr>
        <w:t xml:space="preserve"> and reporting</w:t>
      </w:r>
    </w:p>
    <w:p w14:paraId="5A36955D" w14:textId="29978760" w:rsidR="00BC3161" w:rsidRDefault="00A5044B" w:rsidP="00BC3161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 w:rsidRPr="00447890">
        <w:rPr>
          <w:rFonts w:cs="Arial"/>
          <w:szCs w:val="20"/>
          <w:lang w:eastAsia="en-GB"/>
        </w:rPr>
        <w:t>To</w:t>
      </w:r>
      <w:r w:rsidR="00A34A15" w:rsidRPr="00447890">
        <w:rPr>
          <w:rFonts w:cs="Arial"/>
          <w:szCs w:val="20"/>
          <w:lang w:eastAsia="en-GB"/>
        </w:rPr>
        <w:t xml:space="preserve"> ensure a record is kept of any advice </w:t>
      </w:r>
      <w:r w:rsidR="001D51EA">
        <w:rPr>
          <w:rFonts w:cs="Arial"/>
          <w:szCs w:val="20"/>
          <w:lang w:eastAsia="en-GB"/>
        </w:rPr>
        <w:t xml:space="preserve">or opinion given by the REC according to the principles set out in the Framework. These records </w:t>
      </w:r>
      <w:r w:rsidR="007D208D">
        <w:rPr>
          <w:rFonts w:cs="Arial"/>
          <w:szCs w:val="20"/>
          <w:lang w:eastAsia="en-GB"/>
        </w:rPr>
        <w:t>will</w:t>
      </w:r>
      <w:r w:rsidR="001D51EA">
        <w:rPr>
          <w:rFonts w:cs="Arial"/>
          <w:szCs w:val="20"/>
          <w:lang w:eastAsia="en-GB"/>
        </w:rPr>
        <w:t xml:space="preserve"> be kept for at least </w:t>
      </w:r>
      <w:r w:rsidR="007D208D">
        <w:rPr>
          <w:rFonts w:cs="Arial"/>
          <w:szCs w:val="20"/>
          <w:lang w:eastAsia="en-GB"/>
        </w:rPr>
        <w:t>six</w:t>
      </w:r>
      <w:r w:rsidR="001D51EA">
        <w:rPr>
          <w:rFonts w:cs="Arial"/>
          <w:szCs w:val="20"/>
          <w:lang w:eastAsia="en-GB"/>
        </w:rPr>
        <w:t xml:space="preserve"> years </w:t>
      </w:r>
      <w:r w:rsidR="007D208D">
        <w:rPr>
          <w:rFonts w:cs="Arial"/>
          <w:szCs w:val="20"/>
          <w:lang w:eastAsia="en-GB"/>
        </w:rPr>
        <w:t xml:space="preserve">after the end of the project, or according to funder requirements (whichever is longer). Records </w:t>
      </w:r>
      <w:r w:rsidR="001D51EA">
        <w:rPr>
          <w:rFonts w:cs="Arial"/>
          <w:szCs w:val="20"/>
          <w:lang w:eastAsia="en-GB"/>
        </w:rPr>
        <w:t xml:space="preserve">must be accessible to the Research Ethics and Governance team, </w:t>
      </w:r>
      <w:r w:rsidR="005F1F0B">
        <w:rPr>
          <w:rFonts w:cs="Arial"/>
          <w:szCs w:val="20"/>
          <w:lang w:eastAsia="en-GB"/>
        </w:rPr>
        <w:t>Research &amp; Impact Executive Committee</w:t>
      </w:r>
      <w:r w:rsidR="001D51EA">
        <w:rPr>
          <w:rFonts w:cs="Arial"/>
          <w:szCs w:val="20"/>
          <w:lang w:eastAsia="en-GB"/>
        </w:rPr>
        <w:t xml:space="preserve"> and made available to any regulatory authorities on request.</w:t>
      </w:r>
    </w:p>
    <w:p w14:paraId="5A36955E" w14:textId="77777777" w:rsidR="00447890" w:rsidRDefault="00447890" w:rsidP="00BC3161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</w:p>
    <w:p w14:paraId="5A36955F" w14:textId="553EA525" w:rsidR="00447890" w:rsidRPr="00447890" w:rsidRDefault="00447890" w:rsidP="00BC3161">
      <w:pPr>
        <w:autoSpaceDE w:val="0"/>
        <w:autoSpaceDN w:val="0"/>
        <w:adjustRightInd w:val="0"/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The Chair of the </w:t>
      </w:r>
      <w:r w:rsidR="001D51EA">
        <w:rPr>
          <w:rFonts w:cs="Arial"/>
          <w:szCs w:val="20"/>
          <w:lang w:eastAsia="en-GB"/>
        </w:rPr>
        <w:t>REC</w:t>
      </w:r>
      <w:r>
        <w:rPr>
          <w:rFonts w:cs="Arial"/>
          <w:szCs w:val="20"/>
          <w:lang w:eastAsia="en-GB"/>
        </w:rPr>
        <w:t xml:space="preserve"> will </w:t>
      </w:r>
      <w:r w:rsidR="005F1F0B">
        <w:rPr>
          <w:rFonts w:cs="Arial"/>
          <w:szCs w:val="20"/>
          <w:lang w:eastAsia="en-GB"/>
        </w:rPr>
        <w:t xml:space="preserve">be responsible for providing an annual report on the work of the REC, as requested by the </w:t>
      </w:r>
      <w:proofErr w:type="gramStart"/>
      <w:r w:rsidR="005F1F0B">
        <w:rPr>
          <w:rFonts w:cs="Arial"/>
          <w:szCs w:val="20"/>
          <w:lang w:eastAsia="en-GB"/>
        </w:rPr>
        <w:t>Faculty</w:t>
      </w:r>
      <w:proofErr w:type="gramEnd"/>
      <w:r>
        <w:rPr>
          <w:rFonts w:cs="Arial"/>
          <w:szCs w:val="20"/>
          <w:lang w:eastAsia="en-GB"/>
        </w:rPr>
        <w:t>.</w:t>
      </w:r>
    </w:p>
    <w:p w14:paraId="5A369560" w14:textId="77777777" w:rsidR="00BC3161" w:rsidRDefault="00BC3161" w:rsidP="000927DF">
      <w:pPr>
        <w:jc w:val="both"/>
        <w:rPr>
          <w:rFonts w:cs="Arial"/>
          <w:b/>
          <w:szCs w:val="20"/>
        </w:rPr>
      </w:pPr>
    </w:p>
    <w:p w14:paraId="5A369561" w14:textId="77777777" w:rsidR="00447890" w:rsidRDefault="00447890" w:rsidP="000927DF">
      <w:pPr>
        <w:jc w:val="both"/>
        <w:rPr>
          <w:rFonts w:cs="Arial"/>
        </w:rPr>
      </w:pPr>
      <w:r w:rsidRPr="00ED1EE9">
        <w:rPr>
          <w:rFonts w:cs="Arial"/>
        </w:rPr>
        <w:t xml:space="preserve">The </w:t>
      </w:r>
      <w:r w:rsidR="001D51EA">
        <w:rPr>
          <w:rFonts w:cs="Arial"/>
        </w:rPr>
        <w:t xml:space="preserve">REC </w:t>
      </w:r>
      <w:r>
        <w:rPr>
          <w:rFonts w:cs="Arial"/>
        </w:rPr>
        <w:t>Terms of R</w:t>
      </w:r>
      <w:r w:rsidR="001D51EA">
        <w:rPr>
          <w:rFonts w:cs="Arial"/>
        </w:rPr>
        <w:t>eference and</w:t>
      </w:r>
      <w:r>
        <w:rPr>
          <w:rFonts w:cs="Arial"/>
        </w:rPr>
        <w:t xml:space="preserve"> membership will be reviewed annually.</w:t>
      </w:r>
    </w:p>
    <w:p w14:paraId="5A369562" w14:textId="77777777" w:rsidR="00447890" w:rsidRDefault="00447890" w:rsidP="000927DF">
      <w:pPr>
        <w:jc w:val="both"/>
        <w:rPr>
          <w:rFonts w:cs="Arial"/>
        </w:rPr>
      </w:pPr>
    </w:p>
    <w:p w14:paraId="5A369563" w14:textId="77777777" w:rsidR="009605BE" w:rsidRPr="00447890" w:rsidRDefault="009605BE" w:rsidP="000927DF">
      <w:pPr>
        <w:numPr>
          <w:ilvl w:val="0"/>
          <w:numId w:val="5"/>
        </w:numPr>
        <w:ind w:left="360"/>
        <w:jc w:val="both"/>
        <w:rPr>
          <w:rFonts w:cs="Arial"/>
          <w:b/>
          <w:szCs w:val="20"/>
          <w:lang w:val="en-US"/>
        </w:rPr>
      </w:pPr>
      <w:r w:rsidRPr="00447890">
        <w:rPr>
          <w:rFonts w:cs="Arial"/>
          <w:b/>
          <w:szCs w:val="20"/>
          <w:lang w:val="en-US"/>
        </w:rPr>
        <w:t>Membership</w:t>
      </w:r>
    </w:p>
    <w:p w14:paraId="5A369564" w14:textId="77777777" w:rsidR="009605BE" w:rsidRPr="00447890" w:rsidRDefault="009605BE" w:rsidP="000927DF">
      <w:pPr>
        <w:jc w:val="both"/>
        <w:rPr>
          <w:rFonts w:cs="Arial"/>
          <w:szCs w:val="20"/>
          <w:u w:val="single"/>
          <w:lang w:val="en-US"/>
        </w:rPr>
      </w:pPr>
    </w:p>
    <w:p w14:paraId="5A369565" w14:textId="77777777" w:rsidR="009605BE" w:rsidRDefault="009605BE" w:rsidP="000927DF">
      <w:pPr>
        <w:jc w:val="both"/>
        <w:rPr>
          <w:rFonts w:cs="Arial"/>
          <w:szCs w:val="20"/>
        </w:rPr>
      </w:pPr>
      <w:r w:rsidRPr="00447890">
        <w:rPr>
          <w:rFonts w:cs="Arial"/>
          <w:szCs w:val="20"/>
        </w:rPr>
        <w:t>Membership shall include:</w:t>
      </w:r>
    </w:p>
    <w:p w14:paraId="5A369566" w14:textId="77777777" w:rsidR="00F660F2" w:rsidRDefault="00F660F2" w:rsidP="000927DF">
      <w:pPr>
        <w:jc w:val="both"/>
        <w:rPr>
          <w:rFonts w:cs="Arial"/>
          <w:szCs w:val="20"/>
        </w:rPr>
      </w:pPr>
    </w:p>
    <w:p w14:paraId="5A369567" w14:textId="77777777" w:rsidR="00F660F2" w:rsidRDefault="00F660F2" w:rsidP="000927DF">
      <w:pPr>
        <w:jc w:val="both"/>
        <w:rPr>
          <w:rFonts w:cs="Arial"/>
          <w:szCs w:val="20"/>
        </w:rPr>
      </w:pPr>
    </w:p>
    <w:p w14:paraId="5A369568" w14:textId="77777777" w:rsidR="009A4B46" w:rsidRDefault="009A4B46" w:rsidP="000927DF">
      <w:pPr>
        <w:jc w:val="both"/>
        <w:rPr>
          <w:rFonts w:cs="Arial"/>
          <w:szCs w:val="20"/>
        </w:rPr>
      </w:pPr>
    </w:p>
    <w:tbl>
      <w:tblPr>
        <w:tblW w:w="87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769"/>
      </w:tblGrid>
      <w:tr w:rsidR="009A4B46" w:rsidRPr="009A4B46" w14:paraId="5A36956A" w14:textId="77777777" w:rsidTr="00F660F2">
        <w:tc>
          <w:tcPr>
            <w:tcW w:w="8769" w:type="dxa"/>
          </w:tcPr>
          <w:p w14:paraId="5A369569" w14:textId="77777777" w:rsidR="009A4B46" w:rsidRPr="009A4B46" w:rsidRDefault="009A4B46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 w:rsidRPr="009A4B46">
              <w:rPr>
                <w:rFonts w:cs="Arial"/>
                <w:szCs w:val="20"/>
                <w:lang w:eastAsia="en-GB"/>
              </w:rPr>
              <w:t>Chair</w:t>
            </w:r>
            <w:r w:rsidR="000D7371">
              <w:rPr>
                <w:rFonts w:cs="Arial"/>
                <w:szCs w:val="20"/>
                <w:lang w:eastAsia="en-GB"/>
              </w:rPr>
              <w:t xml:space="preserve"> (with nominated deputy or vice-Chair)</w:t>
            </w:r>
          </w:p>
        </w:tc>
      </w:tr>
      <w:tr w:rsidR="009A4B46" w:rsidRPr="009A4B46" w14:paraId="5A36956D" w14:textId="77777777" w:rsidTr="00F660F2">
        <w:trPr>
          <w:trHeight w:val="763"/>
        </w:trPr>
        <w:tc>
          <w:tcPr>
            <w:tcW w:w="8769" w:type="dxa"/>
          </w:tcPr>
          <w:p w14:paraId="5A36956B" w14:textId="77777777" w:rsidR="009A4B46" w:rsidRPr="009A4B46" w:rsidRDefault="009A4B46" w:rsidP="006803B8">
            <w:pPr>
              <w:ind w:left="534"/>
              <w:jc w:val="both"/>
              <w:rPr>
                <w:rFonts w:cs="Arial"/>
                <w:szCs w:val="20"/>
                <w:lang w:eastAsia="en-GB"/>
              </w:rPr>
            </w:pPr>
          </w:p>
          <w:p w14:paraId="5A36956C" w14:textId="77777777" w:rsidR="009A4B46" w:rsidRPr="009A4B46" w:rsidRDefault="00741663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Members of research active staff</w:t>
            </w:r>
            <w:r w:rsidR="00F660F2">
              <w:rPr>
                <w:rFonts w:cs="Arial"/>
                <w:szCs w:val="20"/>
                <w:lang w:eastAsia="en-GB"/>
              </w:rPr>
              <w:t xml:space="preserve"> (including at least one Early Career Researcher)</w:t>
            </w:r>
            <w:r>
              <w:rPr>
                <w:rFonts w:cs="Arial"/>
                <w:szCs w:val="20"/>
                <w:lang w:eastAsia="en-GB"/>
              </w:rPr>
              <w:t xml:space="preserve"> who:</w:t>
            </w:r>
          </w:p>
        </w:tc>
      </w:tr>
      <w:tr w:rsidR="009A4B46" w:rsidRPr="009A4B46" w14:paraId="5A36956F" w14:textId="77777777" w:rsidTr="00F660F2">
        <w:trPr>
          <w:trHeight w:val="420"/>
        </w:trPr>
        <w:tc>
          <w:tcPr>
            <w:tcW w:w="8769" w:type="dxa"/>
          </w:tcPr>
          <w:p w14:paraId="5A36956E" w14:textId="77777777" w:rsidR="009A4B46" w:rsidRPr="009A4B46" w:rsidRDefault="00741663" w:rsidP="000D7371">
            <w:pPr>
              <w:numPr>
                <w:ilvl w:val="0"/>
                <w:numId w:val="16"/>
              </w:numPr>
              <w:ind w:left="0" w:firstLine="1101"/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represent the breadth of disciplines represented in the remit of the REC</w:t>
            </w:r>
          </w:p>
        </w:tc>
      </w:tr>
      <w:tr w:rsidR="009A4B46" w:rsidRPr="009A4B46" w14:paraId="5A369571" w14:textId="77777777" w:rsidTr="00F660F2">
        <w:trPr>
          <w:trHeight w:val="761"/>
        </w:trPr>
        <w:tc>
          <w:tcPr>
            <w:tcW w:w="8769" w:type="dxa"/>
          </w:tcPr>
          <w:p w14:paraId="5A369570" w14:textId="77777777" w:rsidR="009A4B46" w:rsidRPr="009A4B46" w:rsidRDefault="00741663" w:rsidP="000D7371">
            <w:pPr>
              <w:numPr>
                <w:ilvl w:val="0"/>
                <w:numId w:val="16"/>
              </w:numPr>
              <w:ind w:left="1384" w:hanging="283"/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have a broad experience and expertise in the areas of research regularly </w:t>
            </w:r>
            <w:r w:rsidR="000D7371">
              <w:rPr>
                <w:rFonts w:cs="Arial"/>
                <w:szCs w:val="20"/>
                <w:lang w:eastAsia="en-GB"/>
              </w:rPr>
              <w:t xml:space="preserve">  </w:t>
            </w:r>
            <w:r>
              <w:rPr>
                <w:rFonts w:cs="Arial"/>
                <w:szCs w:val="20"/>
                <w:lang w:eastAsia="en-GB"/>
              </w:rPr>
              <w:t>reviewed by the REC and who have the confidence of the research community</w:t>
            </w:r>
          </w:p>
        </w:tc>
      </w:tr>
      <w:tr w:rsidR="009A4B46" w:rsidRPr="009A4B46" w14:paraId="5A369573" w14:textId="77777777" w:rsidTr="00F660F2">
        <w:tc>
          <w:tcPr>
            <w:tcW w:w="8769" w:type="dxa"/>
          </w:tcPr>
          <w:p w14:paraId="5A369572" w14:textId="77777777" w:rsidR="009A4B46" w:rsidRPr="009A4B46" w:rsidRDefault="00741663" w:rsidP="000D7371">
            <w:pPr>
              <w:numPr>
                <w:ilvl w:val="0"/>
                <w:numId w:val="16"/>
              </w:numPr>
              <w:ind w:left="0" w:firstLine="1101"/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represent a broad range of methodological expertise</w:t>
            </w:r>
          </w:p>
        </w:tc>
      </w:tr>
      <w:tr w:rsidR="009A4B46" w:rsidRPr="009A4B46" w14:paraId="5A369575" w14:textId="77777777" w:rsidTr="00F660F2">
        <w:tc>
          <w:tcPr>
            <w:tcW w:w="8769" w:type="dxa"/>
          </w:tcPr>
          <w:p w14:paraId="5A369574" w14:textId="77777777" w:rsidR="009A4B46" w:rsidRPr="009A4B46" w:rsidRDefault="009A4B46" w:rsidP="000D7371">
            <w:pPr>
              <w:ind w:firstLine="1101"/>
              <w:jc w:val="both"/>
              <w:rPr>
                <w:rFonts w:cs="Arial"/>
                <w:szCs w:val="20"/>
                <w:lang w:eastAsia="en-GB"/>
              </w:rPr>
            </w:pPr>
          </w:p>
        </w:tc>
      </w:tr>
      <w:tr w:rsidR="005B3283" w:rsidRPr="009A4B46" w14:paraId="5A369578" w14:textId="77777777" w:rsidTr="00F660F2">
        <w:tc>
          <w:tcPr>
            <w:tcW w:w="8769" w:type="dxa"/>
          </w:tcPr>
          <w:p w14:paraId="5A369576" w14:textId="77777777" w:rsidR="00F660F2" w:rsidRDefault="00F660F2" w:rsidP="000D7371">
            <w:pPr>
              <w:jc w:val="both"/>
              <w:rPr>
                <w:rFonts w:cs="Arial"/>
                <w:szCs w:val="20"/>
                <w:lang w:eastAsia="en-GB"/>
              </w:rPr>
            </w:pPr>
          </w:p>
          <w:p w14:paraId="5A369577" w14:textId="77777777" w:rsidR="005B3283" w:rsidRPr="009A4B46" w:rsidRDefault="005B3283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At least one member who is knowledgeable in ethics</w:t>
            </w:r>
            <w:r w:rsidR="006803B8">
              <w:rPr>
                <w:rFonts w:cs="Arial"/>
                <w:szCs w:val="20"/>
                <w:lang w:eastAsia="en-GB"/>
              </w:rPr>
              <w:t xml:space="preserve"> (e.g. knowledgeable on principles and theoretical </w:t>
            </w:r>
            <w:r w:rsidR="00AC125B">
              <w:rPr>
                <w:rFonts w:cs="Arial"/>
                <w:szCs w:val="20"/>
                <w:lang w:eastAsia="en-GB"/>
              </w:rPr>
              <w:t>frameworks</w:t>
            </w:r>
            <w:r w:rsidR="006803B8">
              <w:rPr>
                <w:rFonts w:cs="Arial"/>
                <w:szCs w:val="20"/>
                <w:lang w:eastAsia="en-GB"/>
              </w:rPr>
              <w:t xml:space="preserve"> or </w:t>
            </w:r>
            <w:r w:rsidR="00AC125B">
              <w:rPr>
                <w:rFonts w:cs="Arial"/>
                <w:szCs w:val="20"/>
                <w:lang w:eastAsia="en-GB"/>
              </w:rPr>
              <w:t>experience in conducting research with significant ethical implications)</w:t>
            </w:r>
          </w:p>
        </w:tc>
      </w:tr>
      <w:tr w:rsidR="00F660F2" w:rsidRPr="009A4B46" w14:paraId="5A36957B" w14:textId="77777777" w:rsidTr="00F660F2">
        <w:tc>
          <w:tcPr>
            <w:tcW w:w="8769" w:type="dxa"/>
          </w:tcPr>
          <w:p w14:paraId="5A369579" w14:textId="77777777" w:rsidR="00F660F2" w:rsidRDefault="00F660F2" w:rsidP="000D7371">
            <w:pPr>
              <w:jc w:val="both"/>
              <w:rPr>
                <w:rFonts w:cs="Arial"/>
                <w:szCs w:val="20"/>
                <w:lang w:eastAsia="en-GB"/>
              </w:rPr>
            </w:pPr>
          </w:p>
          <w:p w14:paraId="5A36957A" w14:textId="77777777" w:rsidR="00F660F2" w:rsidRDefault="00F660F2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Postgraduate Research student member</w:t>
            </w:r>
          </w:p>
        </w:tc>
      </w:tr>
      <w:tr w:rsidR="009A4B46" w:rsidRPr="009A4B46" w14:paraId="5A36957E" w14:textId="77777777" w:rsidTr="00F660F2">
        <w:tc>
          <w:tcPr>
            <w:tcW w:w="8769" w:type="dxa"/>
          </w:tcPr>
          <w:p w14:paraId="5A36957C" w14:textId="77777777" w:rsidR="005B3283" w:rsidRDefault="005B3283" w:rsidP="006803B8">
            <w:pPr>
              <w:ind w:left="534"/>
              <w:jc w:val="both"/>
              <w:rPr>
                <w:rFonts w:cs="Arial"/>
                <w:szCs w:val="20"/>
                <w:lang w:eastAsia="en-GB"/>
              </w:rPr>
            </w:pPr>
          </w:p>
          <w:p w14:paraId="5A36957D" w14:textId="77777777" w:rsidR="009A4B46" w:rsidRPr="009A4B46" w:rsidRDefault="002501E2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I</w:t>
            </w:r>
            <w:r w:rsidR="001D51EA">
              <w:rPr>
                <w:rFonts w:cs="Arial"/>
                <w:szCs w:val="20"/>
                <w:lang w:eastAsia="en-GB"/>
              </w:rPr>
              <w:t>ndependent</w:t>
            </w:r>
            <w:r w:rsidR="009A4B46" w:rsidRPr="009A4B46">
              <w:rPr>
                <w:rFonts w:cs="Arial"/>
                <w:szCs w:val="20"/>
                <w:lang w:eastAsia="en-GB"/>
              </w:rPr>
              <w:t xml:space="preserve"> </w:t>
            </w:r>
            <w:r w:rsidRPr="002501E2">
              <w:rPr>
                <w:rFonts w:cs="Arial"/>
                <w:i/>
                <w:szCs w:val="20"/>
                <w:lang w:eastAsia="en-GB"/>
              </w:rPr>
              <w:t>(may also be known as lay or public)</w:t>
            </w:r>
            <w:r>
              <w:rPr>
                <w:rFonts w:cs="Arial"/>
                <w:szCs w:val="20"/>
                <w:lang w:eastAsia="en-GB"/>
              </w:rPr>
              <w:t xml:space="preserve"> </w:t>
            </w:r>
            <w:r w:rsidR="009A4B46" w:rsidRPr="009A4B46">
              <w:rPr>
                <w:rFonts w:cs="Arial"/>
                <w:szCs w:val="20"/>
                <w:lang w:eastAsia="en-GB"/>
              </w:rPr>
              <w:t>member</w:t>
            </w:r>
            <w:r w:rsidR="001D51EA">
              <w:rPr>
                <w:rFonts w:cs="Arial"/>
                <w:szCs w:val="20"/>
                <w:lang w:eastAsia="en-GB"/>
              </w:rPr>
              <w:t>(s)</w:t>
            </w:r>
            <w:r w:rsidR="00741663">
              <w:rPr>
                <w:rFonts w:cs="Arial"/>
                <w:szCs w:val="20"/>
                <w:lang w:eastAsia="en-GB"/>
              </w:rPr>
              <w:t xml:space="preserve"> with no </w:t>
            </w:r>
            <w:r w:rsidR="000D7371">
              <w:rPr>
                <w:rFonts w:cs="Arial"/>
                <w:szCs w:val="20"/>
                <w:lang w:eastAsia="en-GB"/>
              </w:rPr>
              <w:t xml:space="preserve">current </w:t>
            </w:r>
            <w:r w:rsidR="00741663">
              <w:rPr>
                <w:rFonts w:cs="Arial"/>
                <w:szCs w:val="20"/>
                <w:lang w:eastAsia="en-GB"/>
              </w:rPr>
              <w:t>affiliation to the department or institution</w:t>
            </w:r>
          </w:p>
        </w:tc>
      </w:tr>
      <w:tr w:rsidR="00741663" w:rsidRPr="009A4B46" w14:paraId="5A369580" w14:textId="77777777" w:rsidTr="00F660F2">
        <w:tc>
          <w:tcPr>
            <w:tcW w:w="8769" w:type="dxa"/>
          </w:tcPr>
          <w:p w14:paraId="5A36957F" w14:textId="77777777" w:rsidR="00741663" w:rsidRPr="009A4B46" w:rsidRDefault="00741663" w:rsidP="006803B8">
            <w:pPr>
              <w:ind w:left="534"/>
              <w:jc w:val="both"/>
              <w:rPr>
                <w:rFonts w:cs="Arial"/>
                <w:szCs w:val="20"/>
                <w:lang w:eastAsia="en-GB"/>
              </w:rPr>
            </w:pPr>
          </w:p>
        </w:tc>
      </w:tr>
      <w:tr w:rsidR="009A4B46" w:rsidRPr="009A4B46" w14:paraId="5A369582" w14:textId="77777777" w:rsidTr="00F660F2">
        <w:tc>
          <w:tcPr>
            <w:tcW w:w="8769" w:type="dxa"/>
          </w:tcPr>
          <w:p w14:paraId="5A369581" w14:textId="77777777" w:rsidR="009A4B46" w:rsidRPr="009A4B46" w:rsidRDefault="009A4B46" w:rsidP="000D7371">
            <w:pPr>
              <w:jc w:val="both"/>
              <w:rPr>
                <w:rFonts w:cs="Arial"/>
                <w:szCs w:val="20"/>
                <w:lang w:eastAsia="en-GB"/>
              </w:rPr>
            </w:pPr>
            <w:r w:rsidRPr="009A4B46">
              <w:rPr>
                <w:rFonts w:cs="Arial"/>
                <w:szCs w:val="20"/>
                <w:lang w:eastAsia="en-GB"/>
              </w:rPr>
              <w:t xml:space="preserve">Secretary </w:t>
            </w:r>
          </w:p>
        </w:tc>
      </w:tr>
      <w:tr w:rsidR="00F660F2" w:rsidRPr="009A4B46" w14:paraId="5A369584" w14:textId="77777777" w:rsidTr="00F660F2">
        <w:tc>
          <w:tcPr>
            <w:tcW w:w="8769" w:type="dxa"/>
          </w:tcPr>
          <w:p w14:paraId="5A369583" w14:textId="77777777" w:rsidR="00F660F2" w:rsidRDefault="00F660F2" w:rsidP="009A4B46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A369585" w14:textId="77777777" w:rsidR="00F660F2" w:rsidRDefault="00F660F2" w:rsidP="00F660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Committees are normally expected to include at least 6 to 8 members. </w:t>
      </w:r>
      <w:r w:rsidRPr="00F660F2">
        <w:rPr>
          <w:rFonts w:cs="Arial"/>
          <w:szCs w:val="20"/>
        </w:rPr>
        <w:t xml:space="preserve">Additional members </w:t>
      </w:r>
      <w:r>
        <w:rPr>
          <w:rFonts w:cs="Arial"/>
          <w:szCs w:val="20"/>
        </w:rPr>
        <w:t>and</w:t>
      </w:r>
      <w:r w:rsidRPr="00F660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co-opted </w:t>
      </w:r>
      <w:r w:rsidRPr="00F660F2">
        <w:rPr>
          <w:rFonts w:cs="Arial"/>
          <w:szCs w:val="20"/>
        </w:rPr>
        <w:t>advisors with appropriate expertise may be required if the complexity of research</w:t>
      </w:r>
      <w:r>
        <w:rPr>
          <w:rFonts w:cs="Arial"/>
          <w:szCs w:val="20"/>
        </w:rPr>
        <w:t xml:space="preserve"> or workload of the committee</w:t>
      </w:r>
      <w:r w:rsidRPr="00F660F2">
        <w:rPr>
          <w:rFonts w:cs="Arial"/>
          <w:szCs w:val="20"/>
        </w:rPr>
        <w:t xml:space="preserve"> demands it</w:t>
      </w:r>
    </w:p>
    <w:p w14:paraId="5A369586" w14:textId="77777777" w:rsidR="00F660F2" w:rsidRPr="00F660F2" w:rsidRDefault="00F660F2" w:rsidP="00F660F2">
      <w:pPr>
        <w:jc w:val="both"/>
        <w:rPr>
          <w:rFonts w:cs="Arial"/>
          <w:b/>
          <w:szCs w:val="20"/>
        </w:rPr>
      </w:pPr>
    </w:p>
    <w:p w14:paraId="5A369587" w14:textId="77777777" w:rsidR="00F660F2" w:rsidRDefault="00F660F2" w:rsidP="00F660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RECs must be constituted so that foreseeable conflicts of interest are avoided.</w:t>
      </w:r>
    </w:p>
    <w:p w14:paraId="5A369588" w14:textId="77777777" w:rsidR="00F660F2" w:rsidRDefault="00F660F2" w:rsidP="00F660F2">
      <w:pPr>
        <w:jc w:val="both"/>
        <w:rPr>
          <w:rFonts w:cs="Arial"/>
          <w:b/>
          <w:szCs w:val="20"/>
        </w:rPr>
      </w:pPr>
    </w:p>
    <w:p w14:paraId="5A369589" w14:textId="77777777" w:rsidR="00F660F2" w:rsidRDefault="00F660F2" w:rsidP="00F660F2">
      <w:pPr>
        <w:jc w:val="both"/>
        <w:rPr>
          <w:rFonts w:cs="Arial"/>
          <w:szCs w:val="20"/>
          <w:lang w:eastAsia="en-GB"/>
        </w:rPr>
      </w:pPr>
      <w:r>
        <w:rPr>
          <w:rFonts w:cs="Arial"/>
          <w:szCs w:val="20"/>
        </w:rPr>
        <w:t xml:space="preserve">RECs should endeavour to include </w:t>
      </w:r>
      <w:r>
        <w:rPr>
          <w:rFonts w:cs="Arial"/>
          <w:szCs w:val="20"/>
          <w:lang w:eastAsia="en-GB"/>
        </w:rPr>
        <w:t>a fair representation of broader society and the diversity of the local community, taking full account of protected characteristics</w:t>
      </w:r>
    </w:p>
    <w:p w14:paraId="5A36958A" w14:textId="77777777" w:rsidR="00F660F2" w:rsidRDefault="00F660F2" w:rsidP="00F660F2">
      <w:pPr>
        <w:jc w:val="both"/>
        <w:rPr>
          <w:rFonts w:cs="Arial"/>
          <w:szCs w:val="20"/>
          <w:lang w:eastAsia="en-GB"/>
        </w:rPr>
      </w:pPr>
    </w:p>
    <w:p w14:paraId="5A36958B" w14:textId="77777777" w:rsidR="00F660F2" w:rsidRDefault="00F660F2" w:rsidP="00F660F2">
      <w:pPr>
        <w:jc w:val="both"/>
        <w:rPr>
          <w:rFonts w:cs="Arial"/>
          <w:b/>
          <w:szCs w:val="20"/>
        </w:rPr>
      </w:pPr>
    </w:p>
    <w:p w14:paraId="5A36958C" w14:textId="77777777" w:rsidR="009605BE" w:rsidRPr="007B25F3" w:rsidRDefault="007B25F3" w:rsidP="00F660F2">
      <w:pPr>
        <w:jc w:val="both"/>
        <w:rPr>
          <w:rFonts w:cs="Arial"/>
          <w:b/>
          <w:szCs w:val="20"/>
        </w:rPr>
      </w:pPr>
      <w:r w:rsidRPr="007B25F3">
        <w:rPr>
          <w:rFonts w:cs="Arial"/>
          <w:b/>
          <w:szCs w:val="20"/>
        </w:rPr>
        <w:t>Training and Induction for members of the Research Ethics Committee</w:t>
      </w:r>
    </w:p>
    <w:p w14:paraId="5A36958D" w14:textId="77777777" w:rsidR="00C60C6C" w:rsidRDefault="00C60C6C" w:rsidP="000927DF">
      <w:pPr>
        <w:jc w:val="both"/>
        <w:rPr>
          <w:rFonts w:cs="Arial"/>
          <w:szCs w:val="20"/>
        </w:rPr>
      </w:pPr>
    </w:p>
    <w:p w14:paraId="5A36958E" w14:textId="77777777" w:rsidR="007B25F3" w:rsidRDefault="007B25F3" w:rsidP="000927D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Members are expected to complete the induction </w:t>
      </w:r>
      <w:r w:rsidR="00F660F2">
        <w:rPr>
          <w:rFonts w:cs="Arial"/>
          <w:szCs w:val="20"/>
        </w:rPr>
        <w:t>and training set out in the SOP and Appendix G of the Research Ethics Framework</w:t>
      </w:r>
      <w:r>
        <w:rPr>
          <w:rFonts w:cs="Arial"/>
          <w:szCs w:val="20"/>
        </w:rPr>
        <w:t>. Training should be reviewed and updated regularly during the term of membership.</w:t>
      </w:r>
    </w:p>
    <w:p w14:paraId="5A36958F" w14:textId="77777777" w:rsidR="005B3283" w:rsidRDefault="005B3283" w:rsidP="000927DF">
      <w:pPr>
        <w:jc w:val="both"/>
        <w:rPr>
          <w:rFonts w:cs="Arial"/>
          <w:szCs w:val="20"/>
        </w:rPr>
      </w:pPr>
    </w:p>
    <w:p w14:paraId="5A369590" w14:textId="77777777" w:rsidR="005B3283" w:rsidRDefault="005B3283" w:rsidP="000927DF">
      <w:pPr>
        <w:jc w:val="both"/>
        <w:rPr>
          <w:rFonts w:cs="Arial"/>
          <w:szCs w:val="20"/>
        </w:rPr>
      </w:pPr>
    </w:p>
    <w:p w14:paraId="5A369591" w14:textId="77777777" w:rsidR="005B3283" w:rsidRDefault="000F39BE" w:rsidP="005B3283">
      <w:pPr>
        <w:numPr>
          <w:ilvl w:val="0"/>
          <w:numId w:val="5"/>
        </w:num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Member names </w:t>
      </w:r>
      <w:r w:rsidRPr="000F39BE">
        <w:rPr>
          <w:rFonts w:cs="Arial"/>
          <w:i/>
          <w:szCs w:val="20"/>
        </w:rPr>
        <w:t>(including roles/expertise</w:t>
      </w:r>
      <w:r w:rsidR="00C444FA">
        <w:rPr>
          <w:rFonts w:cs="Arial"/>
          <w:i/>
          <w:szCs w:val="20"/>
        </w:rPr>
        <w:t xml:space="preserve"> and length of term</w:t>
      </w:r>
      <w:r w:rsidRPr="000F39BE">
        <w:rPr>
          <w:rFonts w:cs="Arial"/>
          <w:i/>
          <w:szCs w:val="20"/>
        </w:rPr>
        <w:t>)</w:t>
      </w:r>
      <w:r w:rsidR="005B3283">
        <w:rPr>
          <w:rFonts w:cs="Arial"/>
          <w:szCs w:val="20"/>
        </w:rPr>
        <w:t>:</w:t>
      </w:r>
    </w:p>
    <w:p w14:paraId="5A369592" w14:textId="77777777" w:rsidR="006803B8" w:rsidRDefault="006803B8" w:rsidP="006803B8">
      <w:pPr>
        <w:ind w:left="720"/>
        <w:jc w:val="both"/>
        <w:rPr>
          <w:rFonts w:cs="Arial"/>
          <w:b/>
          <w:szCs w:val="20"/>
        </w:rPr>
      </w:pPr>
    </w:p>
    <w:p w14:paraId="5A369593" w14:textId="77777777" w:rsidR="006803B8" w:rsidRDefault="006803B8" w:rsidP="006803B8">
      <w:pPr>
        <w:ind w:left="720"/>
        <w:jc w:val="both"/>
        <w:rPr>
          <w:rFonts w:cs="Arial"/>
          <w:b/>
          <w:szCs w:val="20"/>
        </w:rPr>
      </w:pPr>
    </w:p>
    <w:p w14:paraId="5A369594" w14:textId="77777777" w:rsidR="000D7371" w:rsidRDefault="000D7371" w:rsidP="006803B8">
      <w:pPr>
        <w:ind w:left="720"/>
        <w:jc w:val="both"/>
        <w:rPr>
          <w:rFonts w:cs="Arial"/>
          <w:b/>
          <w:szCs w:val="20"/>
        </w:rPr>
      </w:pPr>
    </w:p>
    <w:p w14:paraId="5A369595" w14:textId="77777777" w:rsidR="000D7371" w:rsidRDefault="000D7371" w:rsidP="006803B8">
      <w:pPr>
        <w:ind w:left="720"/>
        <w:jc w:val="both"/>
        <w:rPr>
          <w:rFonts w:cs="Arial"/>
          <w:b/>
          <w:szCs w:val="20"/>
        </w:rPr>
      </w:pPr>
    </w:p>
    <w:p w14:paraId="5A369596" w14:textId="77777777" w:rsidR="006803B8" w:rsidRDefault="006803B8" w:rsidP="006803B8">
      <w:pPr>
        <w:ind w:left="720"/>
        <w:jc w:val="both"/>
        <w:rPr>
          <w:rFonts w:cs="Arial"/>
          <w:szCs w:val="20"/>
        </w:rPr>
      </w:pPr>
    </w:p>
    <w:p w14:paraId="5A369597" w14:textId="77777777" w:rsidR="006803B8" w:rsidRDefault="00AC125B" w:rsidP="00AC12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The REC shall be considered to be quorate for decision-making when the following are present:</w:t>
      </w:r>
    </w:p>
    <w:p w14:paraId="5A369598" w14:textId="77777777" w:rsidR="000D7371" w:rsidRDefault="000D7371" w:rsidP="00AC125B">
      <w:pPr>
        <w:jc w:val="both"/>
        <w:rPr>
          <w:rFonts w:cs="Arial"/>
          <w:szCs w:val="20"/>
        </w:rPr>
      </w:pPr>
    </w:p>
    <w:p w14:paraId="5A369599" w14:textId="77777777" w:rsidR="000D7371" w:rsidRDefault="000D7371" w:rsidP="00AC12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Chair or delegated deputy/vice-Chair</w:t>
      </w:r>
    </w:p>
    <w:p w14:paraId="5A36959A" w14:textId="77777777" w:rsidR="000D7371" w:rsidRDefault="000D7371" w:rsidP="00AC12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At least </w:t>
      </w:r>
      <w:r w:rsidR="00F660F2">
        <w:rPr>
          <w:rFonts w:cs="Arial"/>
          <w:szCs w:val="20"/>
        </w:rPr>
        <w:t xml:space="preserve">two </w:t>
      </w:r>
      <w:r>
        <w:rPr>
          <w:rFonts w:cs="Arial"/>
          <w:szCs w:val="20"/>
        </w:rPr>
        <w:t>other members with knowledge relevant to the business to be undertaken</w:t>
      </w:r>
    </w:p>
    <w:p w14:paraId="5A36959B" w14:textId="77777777" w:rsidR="000D7371" w:rsidRDefault="000D7371" w:rsidP="00AC12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Lay/independent member </w:t>
      </w:r>
      <w:r w:rsidR="00905424">
        <w:rPr>
          <w:rFonts w:cs="Arial"/>
          <w:szCs w:val="20"/>
        </w:rPr>
        <w:t>[</w:t>
      </w:r>
      <w:r w:rsidRPr="00905424">
        <w:rPr>
          <w:rFonts w:cs="Arial"/>
          <w:i/>
          <w:szCs w:val="20"/>
        </w:rPr>
        <w:t xml:space="preserve">where their presence is required for decision-making according to the </w:t>
      </w:r>
      <w:r w:rsidR="00905424">
        <w:rPr>
          <w:rFonts w:cs="Arial"/>
          <w:i/>
          <w:szCs w:val="20"/>
        </w:rPr>
        <w:t xml:space="preserve">relevant </w:t>
      </w:r>
      <w:r w:rsidRPr="00905424">
        <w:rPr>
          <w:rFonts w:cs="Arial"/>
          <w:i/>
          <w:szCs w:val="20"/>
        </w:rPr>
        <w:t>REC Standard Operating Procedures</w:t>
      </w:r>
      <w:r w:rsidR="00905424">
        <w:rPr>
          <w:rFonts w:cs="Arial"/>
          <w:szCs w:val="20"/>
        </w:rPr>
        <w:t>]</w:t>
      </w:r>
    </w:p>
    <w:p w14:paraId="5A36959C" w14:textId="77777777" w:rsidR="000D7371" w:rsidRDefault="000D7371" w:rsidP="00AC125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Secretary</w:t>
      </w:r>
    </w:p>
    <w:p w14:paraId="5A36959D" w14:textId="77777777" w:rsidR="000D7371" w:rsidRPr="00447890" w:rsidRDefault="000D7371" w:rsidP="00AC125B">
      <w:pPr>
        <w:jc w:val="both"/>
        <w:rPr>
          <w:rFonts w:cs="Arial"/>
          <w:szCs w:val="20"/>
        </w:rPr>
      </w:pPr>
    </w:p>
    <w:sectPr w:rsidR="000D7371" w:rsidRPr="00447890" w:rsidSect="00BC3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B3FA" w14:textId="77777777" w:rsidR="004C1741" w:rsidRDefault="004C1741">
      <w:r>
        <w:separator/>
      </w:r>
    </w:p>
  </w:endnote>
  <w:endnote w:type="continuationSeparator" w:id="0">
    <w:p w14:paraId="5D072DD9" w14:textId="77777777" w:rsidR="004C1741" w:rsidRDefault="004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02BE" w14:textId="77777777" w:rsidR="005F3593" w:rsidRDefault="005F3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5A7" w14:textId="2530A21B" w:rsidR="00447890" w:rsidRDefault="00197F4E" w:rsidP="00197F4E">
    <w:pPr>
      <w:pStyle w:val="Footer"/>
      <w:tabs>
        <w:tab w:val="left" w:pos="630"/>
        <w:tab w:val="center" w:pos="4535"/>
      </w:tabs>
    </w:pPr>
    <w:r>
      <w:tab/>
      <w:t>(</w:t>
    </w:r>
    <w:r w:rsidR="00E7238C">
      <w:t>V1.</w:t>
    </w:r>
    <w:r w:rsidR="005F1F0B">
      <w:t xml:space="preserve">2 </w:t>
    </w:r>
    <w:r w:rsidR="000606E5">
      <w:t>11</w:t>
    </w:r>
    <w:r w:rsidR="000606E5" w:rsidRPr="00D00FCF">
      <w:rPr>
        <w:vertAlign w:val="superscript"/>
      </w:rPr>
      <w:t>th</w:t>
    </w:r>
    <w:r w:rsidR="000606E5">
      <w:t xml:space="preserve"> November 2022 – revised</w:t>
    </w:r>
    <w:r>
      <w:t>)</w:t>
    </w:r>
    <w:r>
      <w:tab/>
    </w:r>
    <w:r>
      <w:tab/>
    </w:r>
    <w:r w:rsidR="00447890">
      <w:fldChar w:fldCharType="begin"/>
    </w:r>
    <w:r w:rsidR="00447890">
      <w:instrText xml:space="preserve"> PAGE   \* MERGEFORMAT </w:instrText>
    </w:r>
    <w:r w:rsidR="00447890">
      <w:fldChar w:fldCharType="separate"/>
    </w:r>
    <w:r w:rsidR="00E7238C">
      <w:rPr>
        <w:noProof/>
      </w:rPr>
      <w:t>1</w:t>
    </w:r>
    <w:r w:rsidR="00447890">
      <w:rPr>
        <w:noProof/>
      </w:rPr>
      <w:fldChar w:fldCharType="end"/>
    </w:r>
  </w:p>
  <w:p w14:paraId="5A3695A8" w14:textId="77777777" w:rsidR="00447890" w:rsidRDefault="00447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A8A" w14:textId="77777777" w:rsidR="005F3593" w:rsidRDefault="005F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414A" w14:textId="77777777" w:rsidR="004C1741" w:rsidRDefault="004C1741">
      <w:r>
        <w:separator/>
      </w:r>
    </w:p>
  </w:footnote>
  <w:footnote w:type="continuationSeparator" w:id="0">
    <w:p w14:paraId="472B7C61" w14:textId="77777777" w:rsidR="004C1741" w:rsidRDefault="004C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1AE0" w14:textId="77777777" w:rsidR="005F3593" w:rsidRDefault="005F3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5A2" w14:textId="77777777" w:rsidR="00311E99" w:rsidRDefault="00311E99" w:rsidP="00BC3161">
    <w:pPr>
      <w:pStyle w:val="Header"/>
      <w:rPr>
        <w:szCs w:val="20"/>
      </w:rPr>
    </w:pPr>
  </w:p>
  <w:p w14:paraId="5A3695A3" w14:textId="77777777" w:rsidR="00BC3161" w:rsidRPr="00447890" w:rsidRDefault="00311E99" w:rsidP="00BC3161">
    <w:pPr>
      <w:pStyle w:val="Header"/>
      <w:rPr>
        <w:szCs w:val="20"/>
      </w:rPr>
    </w:pPr>
    <w:r>
      <w:rPr>
        <w:szCs w:val="20"/>
      </w:rPr>
      <w:t>Appendix A</w:t>
    </w:r>
    <w:r w:rsidR="006C2719">
      <w:rPr>
        <w:szCs w:val="20"/>
      </w:rPr>
      <w:tab/>
    </w:r>
    <w:r w:rsidR="006C2719">
      <w:rPr>
        <w:szCs w:val="20"/>
      </w:rPr>
      <w:tab/>
    </w:r>
  </w:p>
  <w:p w14:paraId="5A3695A4" w14:textId="77777777" w:rsidR="00BC3161" w:rsidRPr="00447890" w:rsidRDefault="00BC3161" w:rsidP="00BC3161">
    <w:pPr>
      <w:pStyle w:val="Header"/>
      <w:rPr>
        <w:szCs w:val="20"/>
      </w:rPr>
    </w:pPr>
  </w:p>
  <w:p w14:paraId="5A3695A5" w14:textId="77777777" w:rsidR="00BC3161" w:rsidRPr="00447890" w:rsidRDefault="00BC3161" w:rsidP="00BC3161">
    <w:pPr>
      <w:keepNext/>
      <w:outlineLvl w:val="0"/>
      <w:rPr>
        <w:rFonts w:cs="Arial"/>
        <w:b/>
        <w:szCs w:val="20"/>
      </w:rPr>
    </w:pPr>
    <w:r w:rsidRPr="00447890">
      <w:rPr>
        <w:rFonts w:cs="Arial"/>
        <w:b/>
        <w:szCs w:val="20"/>
      </w:rPr>
      <w:t>UNIVERSITY OF EXETER</w:t>
    </w:r>
    <w:r w:rsidRPr="00447890">
      <w:rPr>
        <w:rFonts w:cs="Arial"/>
        <w:b/>
        <w:szCs w:val="20"/>
      </w:rPr>
      <w:tab/>
    </w:r>
    <w:r w:rsidRPr="00447890">
      <w:rPr>
        <w:rFonts w:cs="Arial"/>
        <w:b/>
        <w:szCs w:val="20"/>
      </w:rPr>
      <w:tab/>
    </w:r>
    <w:r w:rsidRPr="00447890">
      <w:rPr>
        <w:rFonts w:cs="Arial"/>
        <w:b/>
        <w:szCs w:val="20"/>
      </w:rPr>
      <w:tab/>
    </w:r>
    <w:r w:rsidRPr="00447890">
      <w:rPr>
        <w:rFonts w:cs="Arial"/>
        <w:b/>
        <w:szCs w:val="20"/>
      </w:rPr>
      <w:tab/>
    </w:r>
    <w:r w:rsidRPr="00447890">
      <w:rPr>
        <w:rFonts w:cs="Arial"/>
        <w:b/>
        <w:szCs w:val="20"/>
      </w:rPr>
      <w:tab/>
    </w:r>
    <w:r w:rsidRPr="00447890">
      <w:rPr>
        <w:rFonts w:cs="Arial"/>
        <w:b/>
        <w:szCs w:val="20"/>
      </w:rPr>
      <w:tab/>
      <w:t xml:space="preserve">          </w:t>
    </w:r>
  </w:p>
  <w:p w14:paraId="5A3695A6" w14:textId="77777777" w:rsidR="00BC3161" w:rsidRPr="00447890" w:rsidRDefault="004B0222" w:rsidP="00BC3161">
    <w:pPr>
      <w:jc w:val="both"/>
      <w:rPr>
        <w:rFonts w:cs="Arial"/>
        <w:szCs w:val="20"/>
      </w:rPr>
    </w:pPr>
    <w:r>
      <w:rPr>
        <w:rFonts w:cs="Arial"/>
        <w:b/>
        <w:szCs w:val="20"/>
      </w:rPr>
      <w:t>Research Ethics Committee [NAME]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208" w14:textId="77777777" w:rsidR="005F3593" w:rsidRDefault="005F3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803"/>
    <w:multiLevelType w:val="hybridMultilevel"/>
    <w:tmpl w:val="F1BA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2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B95CDC"/>
    <w:multiLevelType w:val="hybridMultilevel"/>
    <w:tmpl w:val="573E40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1057"/>
    <w:multiLevelType w:val="hybridMultilevel"/>
    <w:tmpl w:val="F9D4F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7F1"/>
    <w:multiLevelType w:val="singleLevel"/>
    <w:tmpl w:val="3BD25C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" w15:restartNumberingAfterBreak="0">
    <w:nsid w:val="28A2042F"/>
    <w:multiLevelType w:val="hybridMultilevel"/>
    <w:tmpl w:val="632E4B34"/>
    <w:lvl w:ilvl="0" w:tplc="3C7E0D0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64B22"/>
    <w:multiLevelType w:val="hybridMultilevel"/>
    <w:tmpl w:val="DEC4829E"/>
    <w:lvl w:ilvl="0" w:tplc="08090017">
      <w:start w:val="1"/>
      <w:numFmt w:val="lowerLetter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1DC7253"/>
    <w:multiLevelType w:val="hybridMultilevel"/>
    <w:tmpl w:val="5BDC69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D13"/>
    <w:multiLevelType w:val="hybridMultilevel"/>
    <w:tmpl w:val="C44C3C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290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F55AB5"/>
    <w:multiLevelType w:val="hybridMultilevel"/>
    <w:tmpl w:val="17DCB724"/>
    <w:lvl w:ilvl="0" w:tplc="752CABBE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278A"/>
    <w:multiLevelType w:val="hybridMultilevel"/>
    <w:tmpl w:val="7AD47CDE"/>
    <w:lvl w:ilvl="0" w:tplc="3C5A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F1605"/>
    <w:multiLevelType w:val="hybridMultilevel"/>
    <w:tmpl w:val="A95CA2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17F2"/>
    <w:multiLevelType w:val="hybridMultilevel"/>
    <w:tmpl w:val="B5B22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7211"/>
    <w:multiLevelType w:val="hybridMultilevel"/>
    <w:tmpl w:val="6CF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29F"/>
    <w:multiLevelType w:val="hybridMultilevel"/>
    <w:tmpl w:val="B8FABF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05402">
    <w:abstractNumId w:val="5"/>
  </w:num>
  <w:num w:numId="2" w16cid:durableId="934288516">
    <w:abstractNumId w:val="11"/>
  </w:num>
  <w:num w:numId="3" w16cid:durableId="860818292">
    <w:abstractNumId w:val="10"/>
  </w:num>
  <w:num w:numId="4" w16cid:durableId="576980883">
    <w:abstractNumId w:val="3"/>
  </w:num>
  <w:num w:numId="5" w16cid:durableId="1072122145">
    <w:abstractNumId w:val="4"/>
  </w:num>
  <w:num w:numId="6" w16cid:durableId="836849090">
    <w:abstractNumId w:val="1"/>
  </w:num>
  <w:num w:numId="7" w16cid:durableId="1181697244">
    <w:abstractNumId w:val="14"/>
  </w:num>
  <w:num w:numId="8" w16cid:durableId="1938168767">
    <w:abstractNumId w:val="12"/>
  </w:num>
  <w:num w:numId="9" w16cid:durableId="380909621">
    <w:abstractNumId w:val="13"/>
  </w:num>
  <w:num w:numId="10" w16cid:durableId="457918351">
    <w:abstractNumId w:val="15"/>
  </w:num>
  <w:num w:numId="11" w16cid:durableId="2101246511">
    <w:abstractNumId w:val="7"/>
  </w:num>
  <w:num w:numId="12" w16cid:durableId="570774824">
    <w:abstractNumId w:val="2"/>
  </w:num>
  <w:num w:numId="13" w16cid:durableId="462964320">
    <w:abstractNumId w:val="8"/>
  </w:num>
  <w:num w:numId="14" w16cid:durableId="565339875">
    <w:abstractNumId w:val="9"/>
  </w:num>
  <w:num w:numId="15" w16cid:durableId="1809207528">
    <w:abstractNumId w:val="6"/>
  </w:num>
  <w:num w:numId="16" w16cid:durableId="74942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1"/>
    <w:rsid w:val="000606E5"/>
    <w:rsid w:val="000927DF"/>
    <w:rsid w:val="000A62AD"/>
    <w:rsid w:val="000B0DC9"/>
    <w:rsid w:val="000D7371"/>
    <w:rsid w:val="000F39BE"/>
    <w:rsid w:val="0010553C"/>
    <w:rsid w:val="001470F2"/>
    <w:rsid w:val="00166818"/>
    <w:rsid w:val="00166F36"/>
    <w:rsid w:val="00197F4E"/>
    <w:rsid w:val="001D51EA"/>
    <w:rsid w:val="001E472C"/>
    <w:rsid w:val="002009A0"/>
    <w:rsid w:val="00204C4D"/>
    <w:rsid w:val="00235E58"/>
    <w:rsid w:val="002501E2"/>
    <w:rsid w:val="002510FE"/>
    <w:rsid w:val="00284DCB"/>
    <w:rsid w:val="002F69E2"/>
    <w:rsid w:val="00305D02"/>
    <w:rsid w:val="00311E99"/>
    <w:rsid w:val="003215C8"/>
    <w:rsid w:val="0034022D"/>
    <w:rsid w:val="003D68E5"/>
    <w:rsid w:val="003F5657"/>
    <w:rsid w:val="00426A0E"/>
    <w:rsid w:val="00445B89"/>
    <w:rsid w:val="00447890"/>
    <w:rsid w:val="00484081"/>
    <w:rsid w:val="004B0222"/>
    <w:rsid w:val="004B3D1E"/>
    <w:rsid w:val="004C1741"/>
    <w:rsid w:val="004E40BF"/>
    <w:rsid w:val="00540842"/>
    <w:rsid w:val="00550BFD"/>
    <w:rsid w:val="00556E0F"/>
    <w:rsid w:val="00571690"/>
    <w:rsid w:val="0057521C"/>
    <w:rsid w:val="005B3283"/>
    <w:rsid w:val="005E314E"/>
    <w:rsid w:val="005F1F0B"/>
    <w:rsid w:val="005F3593"/>
    <w:rsid w:val="006078E0"/>
    <w:rsid w:val="00620ADA"/>
    <w:rsid w:val="0066742B"/>
    <w:rsid w:val="006803B8"/>
    <w:rsid w:val="006A0AB6"/>
    <w:rsid w:val="006B2791"/>
    <w:rsid w:val="006C2719"/>
    <w:rsid w:val="006C798F"/>
    <w:rsid w:val="006D1B56"/>
    <w:rsid w:val="006D6B93"/>
    <w:rsid w:val="00741663"/>
    <w:rsid w:val="00756AF4"/>
    <w:rsid w:val="007823D2"/>
    <w:rsid w:val="007B25F3"/>
    <w:rsid w:val="007D208D"/>
    <w:rsid w:val="007E230C"/>
    <w:rsid w:val="0082017B"/>
    <w:rsid w:val="008222B5"/>
    <w:rsid w:val="008318C2"/>
    <w:rsid w:val="008341A4"/>
    <w:rsid w:val="00867F17"/>
    <w:rsid w:val="0087273A"/>
    <w:rsid w:val="008758A5"/>
    <w:rsid w:val="0089116A"/>
    <w:rsid w:val="00896D58"/>
    <w:rsid w:val="008B1694"/>
    <w:rsid w:val="008F3C44"/>
    <w:rsid w:val="008F687D"/>
    <w:rsid w:val="00905424"/>
    <w:rsid w:val="009259C1"/>
    <w:rsid w:val="00927541"/>
    <w:rsid w:val="009605BE"/>
    <w:rsid w:val="009A4B46"/>
    <w:rsid w:val="009D0EA4"/>
    <w:rsid w:val="009E7EBB"/>
    <w:rsid w:val="00A12282"/>
    <w:rsid w:val="00A172A4"/>
    <w:rsid w:val="00A30CFC"/>
    <w:rsid w:val="00A34A15"/>
    <w:rsid w:val="00A5044B"/>
    <w:rsid w:val="00AB7185"/>
    <w:rsid w:val="00AC125B"/>
    <w:rsid w:val="00B04FC1"/>
    <w:rsid w:val="00B1324E"/>
    <w:rsid w:val="00B15D78"/>
    <w:rsid w:val="00B71AC0"/>
    <w:rsid w:val="00B83192"/>
    <w:rsid w:val="00B9281E"/>
    <w:rsid w:val="00BC3161"/>
    <w:rsid w:val="00BD5B69"/>
    <w:rsid w:val="00C16202"/>
    <w:rsid w:val="00C16AA9"/>
    <w:rsid w:val="00C20791"/>
    <w:rsid w:val="00C43C99"/>
    <w:rsid w:val="00C444FA"/>
    <w:rsid w:val="00C44E56"/>
    <w:rsid w:val="00C60C6C"/>
    <w:rsid w:val="00C63B22"/>
    <w:rsid w:val="00C67D66"/>
    <w:rsid w:val="00C72AC6"/>
    <w:rsid w:val="00C860BA"/>
    <w:rsid w:val="00CB00E2"/>
    <w:rsid w:val="00CB36A4"/>
    <w:rsid w:val="00CE0DC1"/>
    <w:rsid w:val="00CF15C8"/>
    <w:rsid w:val="00D00FCF"/>
    <w:rsid w:val="00D33A82"/>
    <w:rsid w:val="00D369B4"/>
    <w:rsid w:val="00D36F37"/>
    <w:rsid w:val="00D41BA9"/>
    <w:rsid w:val="00D450CC"/>
    <w:rsid w:val="00D47E71"/>
    <w:rsid w:val="00D5269F"/>
    <w:rsid w:val="00D90B2F"/>
    <w:rsid w:val="00D937E6"/>
    <w:rsid w:val="00D949CB"/>
    <w:rsid w:val="00DA108A"/>
    <w:rsid w:val="00DA3EE4"/>
    <w:rsid w:val="00DA5602"/>
    <w:rsid w:val="00DC3EC5"/>
    <w:rsid w:val="00DD4116"/>
    <w:rsid w:val="00DD6AFB"/>
    <w:rsid w:val="00DD7955"/>
    <w:rsid w:val="00DE0340"/>
    <w:rsid w:val="00DE3FC7"/>
    <w:rsid w:val="00DE50DA"/>
    <w:rsid w:val="00DF02A2"/>
    <w:rsid w:val="00DF4A25"/>
    <w:rsid w:val="00E05AD0"/>
    <w:rsid w:val="00E226D6"/>
    <w:rsid w:val="00E23E76"/>
    <w:rsid w:val="00E414F2"/>
    <w:rsid w:val="00E579FA"/>
    <w:rsid w:val="00E600E8"/>
    <w:rsid w:val="00E614B7"/>
    <w:rsid w:val="00E67203"/>
    <w:rsid w:val="00E7195B"/>
    <w:rsid w:val="00E7238C"/>
    <w:rsid w:val="00E73E5D"/>
    <w:rsid w:val="00E81C0F"/>
    <w:rsid w:val="00E95B0C"/>
    <w:rsid w:val="00EC0473"/>
    <w:rsid w:val="00EF5C27"/>
    <w:rsid w:val="00F404A5"/>
    <w:rsid w:val="00F660F2"/>
    <w:rsid w:val="00F7035C"/>
    <w:rsid w:val="00F73894"/>
    <w:rsid w:val="00F85C35"/>
    <w:rsid w:val="00F9163E"/>
    <w:rsid w:val="00FB57FE"/>
    <w:rsid w:val="00FC7186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69539"/>
  <w15:chartTrackingRefBased/>
  <w15:docId w15:val="{8C23F43B-6438-4460-A1CA-75569982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 w:hanging="540"/>
      <w:jc w:val="both"/>
      <w:outlineLvl w:val="0"/>
    </w:pPr>
    <w:rPr>
      <w:rFonts w:cs="Arial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E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3EE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3D1E"/>
    <w:pPr>
      <w:ind w:left="720"/>
    </w:pPr>
  </w:style>
  <w:style w:type="paragraph" w:customStyle="1" w:styleId="Default">
    <w:name w:val="Default"/>
    <w:rsid w:val="00C43C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447890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447890"/>
    <w:rPr>
      <w:szCs w:val="20"/>
    </w:rPr>
  </w:style>
  <w:style w:type="character" w:customStyle="1" w:styleId="FootnoteTextChar">
    <w:name w:val="Footnote Text Char"/>
    <w:link w:val="FootnoteText"/>
    <w:rsid w:val="00447890"/>
    <w:rPr>
      <w:rFonts w:ascii="Arial" w:hAnsi="Arial"/>
      <w:lang w:eastAsia="en-US"/>
    </w:rPr>
  </w:style>
  <w:style w:type="character" w:styleId="FootnoteReference">
    <w:name w:val="footnote reference"/>
    <w:rsid w:val="00447890"/>
    <w:rPr>
      <w:vertAlign w:val="superscript"/>
    </w:rPr>
  </w:style>
  <w:style w:type="character" w:styleId="Hyperlink">
    <w:name w:val="Hyperlink"/>
    <w:rsid w:val="00447890"/>
    <w:rPr>
      <w:color w:val="0000FF"/>
      <w:u w:val="single"/>
    </w:rPr>
  </w:style>
  <w:style w:type="paragraph" w:styleId="Revision">
    <w:name w:val="Revision"/>
    <w:hidden/>
    <w:uiPriority w:val="99"/>
    <w:semiHidden/>
    <w:rsid w:val="005F1F0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dfb2e074865fc8dc89db22a69ca13662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73292c8a5e8a8cb1553b3eaa0dd739ea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75860-9b05-4447-a42f-f957fa64301d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C812-18F3-4829-B839-5AFE78EC5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F84B8-3036-4B2D-86C9-14A8CE339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9C13D-897B-4FC0-9638-AD627A438F08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customXml/itemProps4.xml><?xml version="1.0" encoding="utf-8"?>
<ds:datastoreItem xmlns:ds="http://schemas.openxmlformats.org/officeDocument/2006/customXml" ds:itemID="{FE0DA1C0-4F3C-47B3-A6E5-0B3D856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II/8/e</vt:lpstr>
    </vt:vector>
  </TitlesOfParts>
  <Company>University of Exeter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II/8/e</dc:title>
  <dc:subject/>
  <dc:creator>Academic Division</dc:creator>
  <cp:keywords/>
  <cp:lastModifiedBy>Parsons, Jo</cp:lastModifiedBy>
  <cp:revision>7</cp:revision>
  <cp:lastPrinted>2007-11-13T21:04:00Z</cp:lastPrinted>
  <dcterms:created xsi:type="dcterms:W3CDTF">2022-11-11T13:19:00Z</dcterms:created>
  <dcterms:modified xsi:type="dcterms:W3CDTF">2022-11-18T09:56:00Z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