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DD09" w14:textId="77777777" w:rsidR="007423B9" w:rsidRPr="000E1754" w:rsidRDefault="006F55D5" w:rsidP="006F55D5">
      <w:pPr>
        <w:rPr>
          <w:rFonts w:ascii="Arial" w:hAnsi="Arial" w:cs="Arial"/>
          <w:b/>
        </w:rPr>
      </w:pPr>
      <w:r w:rsidRPr="000E1754">
        <w:rPr>
          <w:rFonts w:ascii="Arial" w:hAnsi="Arial" w:cs="Arial"/>
          <w:b/>
        </w:rPr>
        <w:t xml:space="preserve">Above and Beyond </w:t>
      </w:r>
      <w:r w:rsidR="000743D4" w:rsidRPr="000E1754">
        <w:rPr>
          <w:rFonts w:ascii="Arial" w:hAnsi="Arial" w:cs="Arial"/>
          <w:b/>
        </w:rPr>
        <w:t>–</w:t>
      </w:r>
      <w:r w:rsidRPr="000E1754">
        <w:rPr>
          <w:rFonts w:ascii="Arial" w:hAnsi="Arial" w:cs="Arial"/>
          <w:b/>
        </w:rPr>
        <w:t xml:space="preserve"> </w:t>
      </w:r>
      <w:r w:rsidR="000743D4" w:rsidRPr="000E1754">
        <w:rPr>
          <w:rFonts w:ascii="Arial" w:hAnsi="Arial" w:cs="Arial"/>
          <w:b/>
        </w:rPr>
        <w:t>Guide for Managers</w:t>
      </w:r>
    </w:p>
    <w:p w14:paraId="5D759A14" w14:textId="77777777" w:rsidR="006F55D5" w:rsidRPr="000E1754" w:rsidRDefault="007423B9" w:rsidP="006F55D5">
      <w:pPr>
        <w:rPr>
          <w:rFonts w:ascii="Arial" w:hAnsi="Arial" w:cs="Arial"/>
          <w:b/>
        </w:rPr>
      </w:pPr>
      <w:r w:rsidRPr="000E1754">
        <w:rPr>
          <w:rFonts w:ascii="Arial" w:hAnsi="Arial" w:cs="Arial"/>
          <w:b/>
        </w:rPr>
        <w:t>202</w:t>
      </w:r>
      <w:r w:rsidR="003D56F3">
        <w:rPr>
          <w:rFonts w:ascii="Arial" w:hAnsi="Arial" w:cs="Arial"/>
          <w:b/>
        </w:rPr>
        <w:t>1</w:t>
      </w:r>
      <w:r w:rsidRPr="000E1754">
        <w:rPr>
          <w:rFonts w:ascii="Arial" w:hAnsi="Arial" w:cs="Arial"/>
          <w:b/>
        </w:rPr>
        <w:t>/202</w:t>
      </w:r>
      <w:r w:rsidR="003D56F3">
        <w:rPr>
          <w:rFonts w:ascii="Arial" w:hAnsi="Arial" w:cs="Arial"/>
          <w:b/>
        </w:rPr>
        <w:t>2</w:t>
      </w:r>
      <w:r w:rsidRPr="000E1754">
        <w:rPr>
          <w:rFonts w:ascii="Arial" w:hAnsi="Arial" w:cs="Arial"/>
          <w:b/>
        </w:rPr>
        <w:t xml:space="preserve"> Academic year </w:t>
      </w:r>
      <w:r w:rsidR="000743D4" w:rsidRPr="000E1754">
        <w:rPr>
          <w:rFonts w:ascii="Arial" w:hAnsi="Arial" w:cs="Arial"/>
          <w:b/>
        </w:rPr>
        <w:t xml:space="preserve"> </w:t>
      </w:r>
    </w:p>
    <w:p w14:paraId="03A4DC1E" w14:textId="77777777" w:rsidR="006F55D5" w:rsidRPr="000E1754" w:rsidRDefault="006F55D5" w:rsidP="006F55D5">
      <w:pPr>
        <w:rPr>
          <w:rFonts w:ascii="Arial" w:hAnsi="Arial" w:cs="Arial"/>
          <w:b/>
        </w:rPr>
      </w:pPr>
      <w:r w:rsidRPr="000E1754">
        <w:rPr>
          <w:rFonts w:ascii="Arial" w:hAnsi="Arial" w:cs="Arial"/>
          <w:b/>
        </w:rPr>
        <w:t xml:space="preserve">The University of Exeter Recognition Scheme </w:t>
      </w:r>
    </w:p>
    <w:p w14:paraId="669D1F1F" w14:textId="77777777" w:rsidR="00080205" w:rsidRPr="000E1754" w:rsidRDefault="00080205" w:rsidP="00080205">
      <w:pPr>
        <w:rPr>
          <w:rFonts w:ascii="Arial" w:hAnsi="Arial" w:cs="Arial"/>
          <w:lang w:val="en"/>
        </w:rPr>
      </w:pPr>
      <w:r w:rsidRPr="000E1754">
        <w:rPr>
          <w:rFonts w:ascii="Arial" w:hAnsi="Arial" w:cs="Arial"/>
          <w:lang w:val="en"/>
        </w:rPr>
        <w:t>We like to recognise the hard work, commitment and achievements of all staff, individually and as part of team, through a fair, flexible, responsive and transparent recognition scheme.</w:t>
      </w:r>
    </w:p>
    <w:p w14:paraId="34BFD941" w14:textId="77777777" w:rsidR="00080205" w:rsidRDefault="00080205" w:rsidP="00080205">
      <w:pPr>
        <w:rPr>
          <w:rFonts w:ascii="Arial" w:hAnsi="Arial" w:cs="Arial"/>
          <w:lang w:val="en"/>
        </w:rPr>
      </w:pPr>
      <w:r w:rsidRPr="000E1754">
        <w:rPr>
          <w:rFonts w:ascii="Arial" w:hAnsi="Arial" w:cs="Arial"/>
          <w:lang w:val="en"/>
        </w:rPr>
        <w:t>We also want to encourage everyone to say thank you more often! Simply saying thanks, or sending a thank you card, as well as more formal appreciation from a manager makes everyone feel more valued.</w:t>
      </w:r>
    </w:p>
    <w:p w14:paraId="3EFE6928" w14:textId="77777777" w:rsidR="003B1C12" w:rsidRPr="003B1C12" w:rsidRDefault="003B1C12" w:rsidP="003B1C12">
      <w:pPr>
        <w:rPr>
          <w:rFonts w:ascii="Arial" w:hAnsi="Arial" w:cs="Arial"/>
          <w:lang w:val="en"/>
        </w:rPr>
      </w:pPr>
      <w:r w:rsidRPr="003B1C12">
        <w:rPr>
          <w:rFonts w:ascii="Arial" w:hAnsi="Arial" w:cs="Arial"/>
          <w:lang w:val="en"/>
        </w:rPr>
        <w:t>Staff grades B – H are eligible for awards.</w:t>
      </w:r>
    </w:p>
    <w:p w14:paraId="4114F581" w14:textId="77777777" w:rsidR="003B1C12" w:rsidRPr="000E1754" w:rsidRDefault="003B1C12" w:rsidP="003B1C12">
      <w:pPr>
        <w:rPr>
          <w:rFonts w:ascii="Arial" w:hAnsi="Arial" w:cs="Arial"/>
          <w:lang w:val="en"/>
        </w:rPr>
      </w:pPr>
      <w:r w:rsidRPr="003B1C12">
        <w:rPr>
          <w:rFonts w:ascii="Arial" w:hAnsi="Arial" w:cs="Arial"/>
          <w:lang w:val="en"/>
        </w:rPr>
        <w:t>The scheme provides for “Bronze” voucher awards and “Silver” cash awards. The Bronze and Silver awards can be made in-year so that excellent performance is appropriately recognised promptly after achievement.</w:t>
      </w:r>
    </w:p>
    <w:p w14:paraId="5C1B24C3" w14:textId="77777777" w:rsidR="003B1C12" w:rsidRPr="003B1C12" w:rsidRDefault="003B1C12" w:rsidP="003B1C12">
      <w:pPr>
        <w:rPr>
          <w:rFonts w:ascii="Arial" w:hAnsi="Arial" w:cs="Arial"/>
          <w:b/>
          <w:u w:val="single"/>
        </w:rPr>
      </w:pPr>
      <w:r w:rsidRPr="003B1C12">
        <w:rPr>
          <w:rFonts w:ascii="Arial" w:hAnsi="Arial" w:cs="Arial"/>
          <w:b/>
          <w:u w:val="single"/>
        </w:rPr>
        <w:t>Use of the reward budget</w:t>
      </w:r>
    </w:p>
    <w:p w14:paraId="185E30F2" w14:textId="77777777" w:rsidR="003B1C12" w:rsidRPr="003B1C12" w:rsidRDefault="003B1C12" w:rsidP="003B1C12">
      <w:pPr>
        <w:rPr>
          <w:rFonts w:ascii="Arial" w:hAnsi="Arial" w:cs="Arial"/>
        </w:rPr>
      </w:pPr>
      <w:r w:rsidRPr="003B1C12">
        <w:rPr>
          <w:rFonts w:ascii="Arial" w:hAnsi="Arial" w:cs="Arial"/>
        </w:rPr>
        <w:t xml:space="preserve">At the beginning of each financial year, the budget for Above and Beyond is set by Finance Services, at 1% of the staff budget for each College/Service plus national insurance. </w:t>
      </w:r>
    </w:p>
    <w:p w14:paraId="7088812A" w14:textId="77777777" w:rsidR="003B1C12" w:rsidRPr="003B1C12" w:rsidRDefault="003B1C12" w:rsidP="003B1C12">
      <w:pPr>
        <w:rPr>
          <w:rFonts w:ascii="Arial" w:hAnsi="Arial" w:cs="Arial"/>
        </w:rPr>
      </w:pPr>
      <w:r w:rsidRPr="003B1C12">
        <w:rPr>
          <w:rFonts w:ascii="Arial" w:hAnsi="Arial" w:cs="Arial"/>
        </w:rPr>
        <w:t>Each College/Service decides how much of their budget will be allocated for Bronze (voucher) awards through the online portal and the amount that they will use for Silver awards.</w:t>
      </w:r>
    </w:p>
    <w:p w14:paraId="3FD00C83" w14:textId="77777777" w:rsidR="003B1C12" w:rsidRPr="003B1C12" w:rsidRDefault="003B1C12" w:rsidP="003B1C12">
      <w:pPr>
        <w:rPr>
          <w:rFonts w:ascii="Arial" w:hAnsi="Arial" w:cs="Arial"/>
        </w:rPr>
      </w:pPr>
      <w:r w:rsidRPr="003B1C12">
        <w:rPr>
          <w:rFonts w:ascii="Arial" w:hAnsi="Arial" w:cs="Arial"/>
        </w:rPr>
        <w:t>The Bronze awards processed through the portal are deemed taxable benefits by HMRC but to avoid the value of the award to the employee being reduced by income tax and national insurance contributions, this liability is met by the University (using a PSA agreement with HMRC). In budgeting the spend, Colleges/Services need to be aware of the additional costs of the tax/national insurance (that would otherwise be paid by the employee), together with the administration costs charged by Sodexo, which runs the scheme on the University’s behalf. (These oncosts are approximately 56.5% for tax/NI and 12.2% administration fees. We are now using an eVoucher option which gives greater security and reduces administration costs.)</w:t>
      </w:r>
    </w:p>
    <w:p w14:paraId="2B7CD8EE" w14:textId="77777777" w:rsidR="003B1C12" w:rsidRPr="003B1C12" w:rsidRDefault="003B1C12" w:rsidP="003B1C12">
      <w:pPr>
        <w:rPr>
          <w:rFonts w:ascii="Arial" w:hAnsi="Arial" w:cs="Arial"/>
        </w:rPr>
      </w:pPr>
      <w:r w:rsidRPr="003B1C12">
        <w:rPr>
          <w:rFonts w:ascii="Arial" w:hAnsi="Arial" w:cs="Arial"/>
        </w:rPr>
        <w:t xml:space="preserve">The value of the rewards will be as follows: </w:t>
      </w:r>
    </w:p>
    <w:p w14:paraId="6F9AE60B" w14:textId="77777777" w:rsidR="003B1C12" w:rsidRPr="003B1C12" w:rsidRDefault="003B1C12" w:rsidP="003B1C12">
      <w:pPr>
        <w:numPr>
          <w:ilvl w:val="1"/>
          <w:numId w:val="18"/>
        </w:numPr>
        <w:rPr>
          <w:rFonts w:ascii="Arial" w:hAnsi="Arial" w:cs="Arial"/>
        </w:rPr>
      </w:pPr>
      <w:r w:rsidRPr="003B1C12">
        <w:rPr>
          <w:rFonts w:ascii="Arial" w:hAnsi="Arial" w:cs="Arial"/>
        </w:rPr>
        <w:t>Bronze awards through the portal can be for £25, £50, £100, £250 and £500. These are not subject to any deduction for Tax or National Insurance.</w:t>
      </w:r>
    </w:p>
    <w:p w14:paraId="24782E0E" w14:textId="77777777" w:rsidR="003B1C12" w:rsidRPr="003B1C12" w:rsidRDefault="003B1C12" w:rsidP="003B1C12">
      <w:pPr>
        <w:numPr>
          <w:ilvl w:val="1"/>
          <w:numId w:val="18"/>
        </w:numPr>
        <w:rPr>
          <w:rFonts w:ascii="Arial" w:hAnsi="Arial" w:cs="Arial"/>
        </w:rPr>
      </w:pPr>
      <w:r w:rsidRPr="003B1C12">
        <w:rPr>
          <w:rFonts w:ascii="Arial" w:hAnsi="Arial" w:cs="Arial"/>
        </w:rPr>
        <w:t>Silver cash awards made through payroll can be for £750, £1000, £2000, £3000, £4000 (providing they are less than 10% of salary). These will be subject to the standard PAYE deductions (Tax and National Insurance). Payments will be made net of the deductions to the nominee.</w:t>
      </w:r>
    </w:p>
    <w:p w14:paraId="318BA4E1" w14:textId="77777777" w:rsidR="003B1C12" w:rsidRDefault="003B1C12" w:rsidP="003B1C12">
      <w:pPr>
        <w:rPr>
          <w:rFonts w:ascii="Arial" w:hAnsi="Arial" w:cs="Arial"/>
        </w:rPr>
      </w:pPr>
      <w:r w:rsidRPr="003B1C12">
        <w:rPr>
          <w:rFonts w:ascii="Arial" w:hAnsi="Arial" w:cs="Arial"/>
        </w:rPr>
        <w:t xml:space="preserve">College Executive Groups and Professional Services leaders continued to have discretion about which achievements should be rewarded. Colleagues </w:t>
      </w:r>
      <w:r>
        <w:rPr>
          <w:rFonts w:ascii="Arial" w:hAnsi="Arial" w:cs="Arial"/>
        </w:rPr>
        <w:t>are</w:t>
      </w:r>
      <w:r w:rsidRPr="003B1C12">
        <w:rPr>
          <w:rFonts w:ascii="Arial" w:hAnsi="Arial" w:cs="Arial"/>
        </w:rPr>
        <w:t xml:space="preserve"> able to be eligible to receive more than one award if this is considered appropriate.</w:t>
      </w:r>
    </w:p>
    <w:p w14:paraId="554124C1" w14:textId="77777777" w:rsidR="003B1C12" w:rsidRDefault="003B1C12" w:rsidP="003B1C12">
      <w:pPr>
        <w:rPr>
          <w:rFonts w:ascii="Arial" w:hAnsi="Arial" w:cs="Arial"/>
        </w:rPr>
      </w:pPr>
    </w:p>
    <w:p w14:paraId="3F2BD1DC" w14:textId="77777777" w:rsidR="00822C35" w:rsidRDefault="00822C35" w:rsidP="003B1C12">
      <w:pPr>
        <w:rPr>
          <w:rFonts w:ascii="Arial" w:hAnsi="Arial" w:cs="Arial"/>
        </w:rPr>
      </w:pPr>
    </w:p>
    <w:p w14:paraId="0F1EC548" w14:textId="77777777" w:rsidR="00822C35" w:rsidRDefault="00822C35" w:rsidP="003B1C12">
      <w:pPr>
        <w:rPr>
          <w:rFonts w:ascii="Arial" w:hAnsi="Arial" w:cs="Arial"/>
        </w:rPr>
      </w:pPr>
    </w:p>
    <w:p w14:paraId="2A832543" w14:textId="77777777" w:rsidR="003B1C12" w:rsidRPr="003B1C12" w:rsidRDefault="003B1C12" w:rsidP="003B1C12">
      <w:pPr>
        <w:rPr>
          <w:rFonts w:ascii="Arial" w:hAnsi="Arial" w:cs="Arial"/>
        </w:rPr>
      </w:pPr>
    </w:p>
    <w:p w14:paraId="04394779" w14:textId="77777777" w:rsidR="003B1C12" w:rsidRDefault="003B1C12" w:rsidP="003B1C12">
      <w:pPr>
        <w:rPr>
          <w:rFonts w:ascii="Arial" w:hAnsi="Arial" w:cs="Arial"/>
          <w:b/>
        </w:rPr>
      </w:pPr>
      <w:r>
        <w:rPr>
          <w:rFonts w:ascii="Arial" w:hAnsi="Arial" w:cs="Arial"/>
          <w:b/>
        </w:rPr>
        <w:t>University Strategy and Values</w:t>
      </w:r>
    </w:p>
    <w:p w14:paraId="24778F0D" w14:textId="77777777" w:rsidR="003B1C12" w:rsidRDefault="003B1C12" w:rsidP="003B1C12">
      <w:pPr>
        <w:rPr>
          <w:rFonts w:ascii="Arial" w:hAnsi="Arial" w:cs="Arial"/>
        </w:rPr>
      </w:pPr>
      <w:r>
        <w:rPr>
          <w:rFonts w:ascii="Arial" w:hAnsi="Arial" w:cs="Arial"/>
        </w:rPr>
        <w:t xml:space="preserve">Rewards made for Bronze through the </w:t>
      </w:r>
      <w:r w:rsidRPr="003B1C12">
        <w:rPr>
          <w:rFonts w:ascii="Arial" w:hAnsi="Arial" w:cs="Arial"/>
        </w:rPr>
        <w:t xml:space="preserve">Above and Beyond Scheme portal </w:t>
      </w:r>
      <w:r>
        <w:rPr>
          <w:rFonts w:ascii="Arial" w:hAnsi="Arial" w:cs="Arial"/>
        </w:rPr>
        <w:t>and the Silver awards made via payroll should</w:t>
      </w:r>
      <w:r w:rsidRPr="003B1C12">
        <w:rPr>
          <w:rFonts w:ascii="Arial" w:hAnsi="Arial" w:cs="Arial"/>
        </w:rPr>
        <w:t xml:space="preserve"> reflect the </w:t>
      </w:r>
      <w:r>
        <w:rPr>
          <w:rFonts w:ascii="Arial" w:hAnsi="Arial" w:cs="Arial"/>
        </w:rPr>
        <w:t>University Values.</w:t>
      </w:r>
    </w:p>
    <w:p w14:paraId="19B7B201" w14:textId="77777777" w:rsidR="003B1C12" w:rsidRPr="003B1C12" w:rsidRDefault="003B1C12" w:rsidP="003B1C12">
      <w:pPr>
        <w:rPr>
          <w:rFonts w:ascii="Arial" w:hAnsi="Arial" w:cs="Arial"/>
        </w:rPr>
      </w:pPr>
      <w:r w:rsidRPr="003B1C12">
        <w:rPr>
          <w:rFonts w:ascii="Arial" w:hAnsi="Arial" w:cs="Arial"/>
        </w:rPr>
        <w:t>Discovery: we thrive on imagination and creativity to make new discoveries and to innovate in our ways of working.</w:t>
      </w:r>
    </w:p>
    <w:p w14:paraId="37348065" w14:textId="77777777" w:rsidR="003B1C12" w:rsidRPr="003B1C12" w:rsidRDefault="003B1C12" w:rsidP="003B1C12">
      <w:pPr>
        <w:rPr>
          <w:rFonts w:ascii="Arial" w:hAnsi="Arial" w:cs="Arial"/>
        </w:rPr>
      </w:pPr>
      <w:r w:rsidRPr="003B1C12">
        <w:rPr>
          <w:rFonts w:ascii="Arial" w:hAnsi="Arial" w:cs="Arial"/>
        </w:rPr>
        <w:t>Respect: we respect our community and our environment, and we build trust and wellbeing by showing kindness.</w:t>
      </w:r>
    </w:p>
    <w:p w14:paraId="742E66B9" w14:textId="77777777" w:rsidR="003B1C12" w:rsidRPr="003B1C12" w:rsidRDefault="003B1C12" w:rsidP="003B1C12">
      <w:pPr>
        <w:rPr>
          <w:rFonts w:ascii="Arial" w:hAnsi="Arial" w:cs="Arial"/>
        </w:rPr>
      </w:pPr>
      <w:r w:rsidRPr="003B1C12">
        <w:rPr>
          <w:rFonts w:ascii="Arial" w:hAnsi="Arial" w:cs="Arial"/>
        </w:rPr>
        <w:t>Excellence: we seek to excel and deliver the very best in everything that we do.</w:t>
      </w:r>
    </w:p>
    <w:p w14:paraId="3327C4B7" w14:textId="77777777" w:rsidR="003B1C12" w:rsidRPr="003B1C12" w:rsidRDefault="003B1C12" w:rsidP="003B1C12">
      <w:pPr>
        <w:rPr>
          <w:rFonts w:ascii="Arial" w:hAnsi="Arial" w:cs="Arial"/>
        </w:rPr>
      </w:pPr>
      <w:r w:rsidRPr="003B1C12">
        <w:rPr>
          <w:rFonts w:ascii="Arial" w:hAnsi="Arial" w:cs="Arial"/>
        </w:rPr>
        <w:t>Inclusion: we welcome and champion diversity to create a sense of belonging so that everyone is valued.</w:t>
      </w:r>
    </w:p>
    <w:p w14:paraId="17B25D8D" w14:textId="77777777" w:rsidR="00A419EE" w:rsidRPr="000E1754" w:rsidRDefault="003B1C12" w:rsidP="003B1C12">
      <w:pPr>
        <w:rPr>
          <w:rFonts w:ascii="Arial" w:hAnsi="Arial" w:cs="Arial"/>
        </w:rPr>
      </w:pPr>
      <w:r w:rsidRPr="003B1C12">
        <w:rPr>
          <w:rFonts w:ascii="Arial" w:hAnsi="Arial" w:cs="Arial"/>
        </w:rPr>
        <w:t>Community: we work best when we collaborate to deliver shared priorities and goals.</w:t>
      </w:r>
    </w:p>
    <w:p w14:paraId="30BB9F20" w14:textId="77777777" w:rsidR="00D178AF" w:rsidRPr="000E1754" w:rsidRDefault="00D178AF" w:rsidP="00D178AF">
      <w:pPr>
        <w:rPr>
          <w:rFonts w:ascii="Arial" w:eastAsia="Calibri" w:hAnsi="Arial" w:cs="Arial"/>
        </w:rPr>
      </w:pPr>
    </w:p>
    <w:p w14:paraId="28D44B3E" w14:textId="77777777" w:rsidR="00D178AF" w:rsidRPr="000E1754" w:rsidRDefault="00F96B3B" w:rsidP="00D178AF">
      <w:pPr>
        <w:rPr>
          <w:rFonts w:ascii="Arial" w:eastAsia="Calibri" w:hAnsi="Arial" w:cs="Arial"/>
        </w:rPr>
      </w:pPr>
      <w:r>
        <w:rPr>
          <w:rFonts w:ascii="Arial" w:eastAsia="Calibri" w:hAnsi="Arial" w:cs="Arial"/>
          <w:b/>
        </w:rPr>
        <w:t xml:space="preserve">Process for making a Bronze </w:t>
      </w:r>
      <w:r w:rsidR="00D178AF" w:rsidRPr="000E1754">
        <w:rPr>
          <w:rFonts w:ascii="Arial" w:eastAsia="Calibri" w:hAnsi="Arial" w:cs="Arial"/>
          <w:b/>
        </w:rPr>
        <w:t xml:space="preserve">award via the portal </w:t>
      </w:r>
    </w:p>
    <w:p w14:paraId="73576156" w14:textId="77777777" w:rsidR="00C162F8" w:rsidRPr="000E1754" w:rsidRDefault="00D178AF" w:rsidP="00D178AF">
      <w:pPr>
        <w:rPr>
          <w:rFonts w:ascii="Arial" w:eastAsia="Calibri" w:hAnsi="Arial" w:cs="Arial"/>
        </w:rPr>
      </w:pPr>
      <w:r w:rsidRPr="000E1754">
        <w:rPr>
          <w:rFonts w:ascii="Arial" w:eastAsia="Calibri" w:hAnsi="Arial" w:cs="Arial"/>
        </w:rPr>
        <w:t xml:space="preserve">The online portal </w:t>
      </w:r>
      <w:r w:rsidR="003B1C12">
        <w:rPr>
          <w:rFonts w:ascii="Arial" w:eastAsia="Calibri" w:hAnsi="Arial" w:cs="Arial"/>
        </w:rPr>
        <w:t xml:space="preserve">is available </w:t>
      </w:r>
      <w:r w:rsidRPr="000E1754">
        <w:rPr>
          <w:rFonts w:ascii="Arial" w:eastAsia="Calibri" w:hAnsi="Arial" w:cs="Arial"/>
        </w:rPr>
        <w:t xml:space="preserve">to enable </w:t>
      </w:r>
      <w:r w:rsidR="003B1C12">
        <w:rPr>
          <w:rFonts w:ascii="Arial" w:eastAsia="Calibri" w:hAnsi="Arial" w:cs="Arial"/>
        </w:rPr>
        <w:t>Bronze awards</w:t>
      </w:r>
      <w:r w:rsidR="00822C35">
        <w:rPr>
          <w:rFonts w:ascii="Arial" w:eastAsia="Calibri" w:hAnsi="Arial" w:cs="Arial"/>
        </w:rPr>
        <w:t xml:space="preserve"> to be made. A quick start guide on how to access the portal and make an award can be found </w:t>
      </w:r>
      <w:hyperlink r:id="rId7" w:history="1">
        <w:r w:rsidR="00822C35" w:rsidRPr="00822C35">
          <w:rPr>
            <w:rStyle w:val="Hyperlink"/>
            <w:rFonts w:ascii="Arial" w:eastAsia="Calibri" w:hAnsi="Arial" w:cs="Arial"/>
          </w:rPr>
          <w:t>Above and beyond | Benefits, rewards and recognition | University of Exeter</w:t>
        </w:r>
      </w:hyperlink>
    </w:p>
    <w:p w14:paraId="7A3E1BF2" w14:textId="77777777" w:rsidR="00C162F8" w:rsidRPr="000E1754" w:rsidRDefault="00C162F8" w:rsidP="00D178AF">
      <w:pPr>
        <w:rPr>
          <w:rFonts w:ascii="Arial" w:eastAsia="Calibri" w:hAnsi="Arial" w:cs="Arial"/>
          <w:b/>
        </w:rPr>
      </w:pPr>
      <w:r w:rsidRPr="000E1754">
        <w:rPr>
          <w:rFonts w:ascii="Arial" w:eastAsia="Calibri" w:hAnsi="Arial" w:cs="Arial"/>
          <w:b/>
        </w:rPr>
        <w:t xml:space="preserve">Process for making a </w:t>
      </w:r>
      <w:r w:rsidR="00F96B3B">
        <w:rPr>
          <w:rFonts w:ascii="Arial" w:eastAsia="Calibri" w:hAnsi="Arial" w:cs="Arial"/>
          <w:b/>
        </w:rPr>
        <w:t xml:space="preserve">Silver </w:t>
      </w:r>
      <w:r w:rsidRPr="000E1754">
        <w:rPr>
          <w:rFonts w:ascii="Arial" w:eastAsia="Calibri" w:hAnsi="Arial" w:cs="Arial"/>
          <w:b/>
        </w:rPr>
        <w:t>cash award</w:t>
      </w:r>
    </w:p>
    <w:p w14:paraId="3BC30EEC" w14:textId="77777777" w:rsidR="00C162F8" w:rsidRPr="000E1754" w:rsidRDefault="00F96B3B" w:rsidP="00D178AF">
      <w:pPr>
        <w:rPr>
          <w:rFonts w:ascii="Arial" w:eastAsia="Calibri" w:hAnsi="Arial" w:cs="Arial"/>
        </w:rPr>
      </w:pPr>
      <w:r>
        <w:rPr>
          <w:rFonts w:ascii="Arial" w:eastAsia="Calibri" w:hAnsi="Arial" w:cs="Arial"/>
        </w:rPr>
        <w:t xml:space="preserve">Silver </w:t>
      </w:r>
      <w:r w:rsidR="00C162F8" w:rsidRPr="000E1754">
        <w:rPr>
          <w:rFonts w:ascii="Arial" w:eastAsia="Calibri" w:hAnsi="Arial" w:cs="Arial"/>
        </w:rPr>
        <w:t>Cash awards are made through payroll and paid at the end of the month with the nominated person</w:t>
      </w:r>
      <w:r>
        <w:rPr>
          <w:rFonts w:ascii="Arial" w:eastAsia="Calibri" w:hAnsi="Arial" w:cs="Arial"/>
        </w:rPr>
        <w:t>’</w:t>
      </w:r>
      <w:r w:rsidR="00C162F8" w:rsidRPr="000E1754">
        <w:rPr>
          <w:rFonts w:ascii="Arial" w:eastAsia="Calibri" w:hAnsi="Arial" w:cs="Arial"/>
        </w:rPr>
        <w:t xml:space="preserve">s pay. </w:t>
      </w:r>
    </w:p>
    <w:p w14:paraId="45203EE3" w14:textId="77777777" w:rsidR="00C162F8" w:rsidRPr="000E1754" w:rsidRDefault="00C162F8" w:rsidP="00C162F8">
      <w:pPr>
        <w:pStyle w:val="ListParagraph"/>
        <w:numPr>
          <w:ilvl w:val="0"/>
          <w:numId w:val="17"/>
        </w:numPr>
        <w:rPr>
          <w:rFonts w:ascii="Arial" w:eastAsia="Calibri" w:hAnsi="Arial" w:cs="Arial"/>
        </w:rPr>
      </w:pPr>
      <w:r w:rsidRPr="000E1754">
        <w:rPr>
          <w:rFonts w:ascii="Arial" w:eastAsia="Calibri" w:hAnsi="Arial" w:cs="Arial"/>
        </w:rPr>
        <w:t>Nominations should be discussed by the Senior Management Team for each college/service</w:t>
      </w:r>
    </w:p>
    <w:p w14:paraId="01196B6D" w14:textId="77777777" w:rsidR="00C162F8" w:rsidRPr="000E1754" w:rsidRDefault="00C162F8" w:rsidP="00C162F8">
      <w:pPr>
        <w:pStyle w:val="ListParagraph"/>
        <w:numPr>
          <w:ilvl w:val="0"/>
          <w:numId w:val="17"/>
        </w:numPr>
        <w:rPr>
          <w:rFonts w:ascii="Arial" w:eastAsia="Calibri" w:hAnsi="Arial" w:cs="Arial"/>
        </w:rPr>
      </w:pPr>
      <w:r w:rsidRPr="000E1754">
        <w:rPr>
          <w:rFonts w:ascii="Arial" w:eastAsia="Calibri" w:hAnsi="Arial" w:cs="Arial"/>
        </w:rPr>
        <w:t>An audit of the reasons for the award should be kept</w:t>
      </w:r>
    </w:p>
    <w:p w14:paraId="473AE9B9" w14:textId="77777777" w:rsidR="00C162F8" w:rsidRPr="000E1754" w:rsidRDefault="00C162F8" w:rsidP="00C162F8">
      <w:pPr>
        <w:pStyle w:val="ListParagraph"/>
        <w:numPr>
          <w:ilvl w:val="0"/>
          <w:numId w:val="17"/>
        </w:numPr>
        <w:rPr>
          <w:rFonts w:ascii="Arial" w:eastAsia="Calibri" w:hAnsi="Arial" w:cs="Arial"/>
        </w:rPr>
      </w:pPr>
      <w:r w:rsidRPr="000E1754">
        <w:rPr>
          <w:rFonts w:ascii="Arial" w:eastAsia="Calibri" w:hAnsi="Arial" w:cs="Arial"/>
        </w:rPr>
        <w:t>A spreadsheet should be completed by each college/service with details of any cash awards due for that pay period. This is the ONLY method for submitting a request to payroll.</w:t>
      </w:r>
    </w:p>
    <w:p w14:paraId="3A252FBB" w14:textId="77777777" w:rsidR="00F96B3B" w:rsidRDefault="00F96B3B" w:rsidP="00F96B3B">
      <w:pPr>
        <w:pStyle w:val="ListParagraph"/>
        <w:numPr>
          <w:ilvl w:val="0"/>
          <w:numId w:val="17"/>
        </w:numPr>
        <w:rPr>
          <w:rFonts w:ascii="Arial" w:eastAsia="Calibri" w:hAnsi="Arial" w:cs="Arial"/>
        </w:rPr>
      </w:pPr>
      <w:r w:rsidRPr="00F96B3B">
        <w:rPr>
          <w:rFonts w:ascii="Arial" w:eastAsia="Calibri" w:hAnsi="Arial" w:cs="Arial"/>
        </w:rPr>
        <w:t xml:space="preserve">Managers wishing to make a Silver (cash) award should ensure that they have appropriate approval from the PVC/Director then forward the details to the HRA/HRBP, with a copy of the letter to the employee, for their College/Services for payroll implementation. </w:t>
      </w:r>
    </w:p>
    <w:p w14:paraId="3FA4EFDA" w14:textId="77777777" w:rsidR="00C162F8" w:rsidRPr="000E1754" w:rsidRDefault="00C162F8" w:rsidP="00F96B3B">
      <w:pPr>
        <w:pStyle w:val="ListParagraph"/>
        <w:numPr>
          <w:ilvl w:val="0"/>
          <w:numId w:val="17"/>
        </w:numPr>
        <w:rPr>
          <w:rFonts w:ascii="Arial" w:eastAsia="Calibri" w:hAnsi="Arial" w:cs="Arial"/>
        </w:rPr>
      </w:pPr>
      <w:r w:rsidRPr="000E1754">
        <w:rPr>
          <w:rFonts w:ascii="Arial" w:eastAsia="Calibri" w:hAnsi="Arial" w:cs="Arial"/>
        </w:rPr>
        <w:t>Template letters have been made available for colleges and service to write to the nominee to let them know of the reward and copies should be returned to the Employee Services team to be uploaded to the HR electronic files for each nominee</w:t>
      </w:r>
    </w:p>
    <w:p w14:paraId="35924CA5" w14:textId="77777777" w:rsidR="001622A7" w:rsidRPr="000E1754" w:rsidRDefault="00C162F8" w:rsidP="00C162F8">
      <w:pPr>
        <w:pStyle w:val="ListParagraph"/>
        <w:numPr>
          <w:ilvl w:val="0"/>
          <w:numId w:val="17"/>
        </w:numPr>
        <w:rPr>
          <w:rFonts w:ascii="Arial" w:eastAsia="Calibri" w:hAnsi="Arial" w:cs="Arial"/>
        </w:rPr>
      </w:pPr>
      <w:r w:rsidRPr="000E1754">
        <w:rPr>
          <w:rFonts w:ascii="Arial" w:eastAsia="Calibri" w:hAnsi="Arial" w:cs="Arial"/>
        </w:rPr>
        <w:t>Payment of the award will be made at the end of the month in the nominee</w:t>
      </w:r>
      <w:r w:rsidR="00F96B3B">
        <w:rPr>
          <w:rFonts w:ascii="Arial" w:eastAsia="Calibri" w:hAnsi="Arial" w:cs="Arial"/>
        </w:rPr>
        <w:t>’</w:t>
      </w:r>
      <w:r w:rsidRPr="000E1754">
        <w:rPr>
          <w:rFonts w:ascii="Arial" w:eastAsia="Calibri" w:hAnsi="Arial" w:cs="Arial"/>
        </w:rPr>
        <w:t xml:space="preserve">s pay, it will be subject to the standard PAYE deductions applicable </w:t>
      </w:r>
      <w:r w:rsidR="000E1754" w:rsidRPr="000E1754">
        <w:rPr>
          <w:rFonts w:ascii="Arial" w:eastAsia="Calibri" w:hAnsi="Arial" w:cs="Arial"/>
        </w:rPr>
        <w:t>to the individual</w:t>
      </w:r>
      <w:r w:rsidRPr="000E1754">
        <w:rPr>
          <w:rFonts w:ascii="Arial" w:eastAsia="Calibri" w:hAnsi="Arial" w:cs="Arial"/>
        </w:rPr>
        <w:t>.</w:t>
      </w:r>
      <w:r w:rsidR="001622A7" w:rsidRPr="000E1754">
        <w:rPr>
          <w:rFonts w:ascii="Arial" w:eastAsia="Calibri" w:hAnsi="Arial" w:cs="Arial"/>
        </w:rPr>
        <w:t xml:space="preserve"> </w:t>
      </w:r>
    </w:p>
    <w:p w14:paraId="48933699" w14:textId="77777777" w:rsidR="000E1754" w:rsidRDefault="000E1754" w:rsidP="00A407B6">
      <w:pPr>
        <w:spacing w:after="120" w:line="240" w:lineRule="auto"/>
        <w:rPr>
          <w:sz w:val="24"/>
          <w:szCs w:val="24"/>
        </w:rPr>
      </w:pPr>
    </w:p>
    <w:p w14:paraId="52A2718F" w14:textId="77777777" w:rsidR="000E1754" w:rsidRDefault="000E1754" w:rsidP="00A407B6">
      <w:pPr>
        <w:spacing w:after="120" w:line="240" w:lineRule="auto"/>
        <w:rPr>
          <w:sz w:val="24"/>
          <w:szCs w:val="24"/>
        </w:rPr>
      </w:pPr>
    </w:p>
    <w:p w14:paraId="3CEB5CF5" w14:textId="77777777" w:rsidR="00822C35" w:rsidRDefault="00822C35" w:rsidP="00A407B6">
      <w:pPr>
        <w:spacing w:after="120" w:line="240" w:lineRule="auto"/>
        <w:rPr>
          <w:sz w:val="24"/>
          <w:szCs w:val="24"/>
        </w:rPr>
      </w:pPr>
    </w:p>
    <w:p w14:paraId="2C59ECF6" w14:textId="77777777" w:rsidR="00822C35" w:rsidRDefault="00822C35" w:rsidP="00A407B6">
      <w:pPr>
        <w:spacing w:after="120" w:line="240" w:lineRule="auto"/>
        <w:rPr>
          <w:sz w:val="24"/>
          <w:szCs w:val="24"/>
        </w:rPr>
      </w:pPr>
    </w:p>
    <w:p w14:paraId="10E45790" w14:textId="77777777" w:rsidR="00822C35" w:rsidRDefault="00822C35" w:rsidP="00A407B6">
      <w:pPr>
        <w:spacing w:after="120" w:line="240" w:lineRule="auto"/>
        <w:rPr>
          <w:sz w:val="24"/>
          <w:szCs w:val="24"/>
        </w:rPr>
      </w:pPr>
    </w:p>
    <w:p w14:paraId="22FFD9A6" w14:textId="77777777" w:rsidR="00822C35" w:rsidRPr="00822C35" w:rsidRDefault="00822C35" w:rsidP="00822C35">
      <w:pPr>
        <w:spacing w:after="120" w:line="240" w:lineRule="auto"/>
        <w:rPr>
          <w:sz w:val="24"/>
          <w:szCs w:val="24"/>
        </w:rPr>
      </w:pPr>
      <w:r w:rsidRPr="00822C35">
        <w:rPr>
          <w:sz w:val="24"/>
          <w:szCs w:val="24"/>
        </w:rPr>
        <w:lastRenderedPageBreak/>
        <w:t>Above and beyond: updated web guidance of award values</w:t>
      </w:r>
    </w:p>
    <w:p w14:paraId="4C4D80D5" w14:textId="77777777" w:rsidR="00822C35" w:rsidRPr="00822C35" w:rsidRDefault="00822C35" w:rsidP="00822C35">
      <w:pPr>
        <w:spacing w:after="120" w:line="240" w:lineRule="auto"/>
        <w:rPr>
          <w:sz w:val="24"/>
          <w:szCs w:val="24"/>
        </w:rPr>
      </w:pPr>
      <w:r w:rsidRPr="00822C35">
        <w:rPr>
          <w:sz w:val="24"/>
          <w:szCs w:val="24"/>
        </w:rPr>
        <w:t>APPENDIX A</w:t>
      </w:r>
    </w:p>
    <w:p w14:paraId="545448D0" w14:textId="77777777" w:rsidR="00822C35" w:rsidRPr="00822C35" w:rsidRDefault="00822C35" w:rsidP="00822C35">
      <w:pPr>
        <w:spacing w:after="120" w:line="240" w:lineRule="auto"/>
        <w:rPr>
          <w:sz w:val="24"/>
          <w:szCs w:val="24"/>
        </w:rPr>
      </w:pPr>
      <w:r w:rsidRPr="00822C35">
        <w:rPr>
          <w:sz w:val="24"/>
          <w:szCs w:val="24"/>
        </w:rPr>
        <w:t>Above and beyond: web guidance of award values</w:t>
      </w:r>
    </w:p>
    <w:p w14:paraId="407A40CF" w14:textId="77777777" w:rsidR="00822C35" w:rsidRPr="00822C35" w:rsidRDefault="00822C35" w:rsidP="00822C35">
      <w:pPr>
        <w:spacing w:after="120" w:line="240" w:lineRule="auto"/>
        <w:rPr>
          <w:sz w:val="24"/>
          <w:szCs w:val="24"/>
        </w:rPr>
      </w:pPr>
      <w:r w:rsidRPr="00822C35">
        <w:rPr>
          <w:sz w:val="24"/>
          <w:szCs w:val="24"/>
        </w:rPr>
        <w:t xml:space="preserve">(from </w:t>
      </w:r>
      <w:hyperlink r:id="rId8" w:history="1">
        <w:r w:rsidRPr="00822C35">
          <w:rPr>
            <w:rStyle w:val="Hyperlink"/>
            <w:sz w:val="24"/>
            <w:szCs w:val="24"/>
          </w:rPr>
          <w:t>www.exeter.ac.uk/staff/benefits/reward/aboveandbeyond/managersguidance</w:t>
        </w:r>
      </w:hyperlink>
      <w:r w:rsidRPr="00822C35">
        <w:rPr>
          <w:sz w:val="24"/>
          <w:szCs w:val="24"/>
        </w:rPr>
        <w:t>)</w:t>
      </w:r>
    </w:p>
    <w:tbl>
      <w:tblPr>
        <w:tblW w:w="10179" w:type="dxa"/>
        <w:tblCellSpacing w:w="15" w:type="dxa"/>
        <w:tblCellMar>
          <w:top w:w="15" w:type="dxa"/>
          <w:left w:w="15" w:type="dxa"/>
          <w:bottom w:w="15" w:type="dxa"/>
          <w:right w:w="15" w:type="dxa"/>
        </w:tblCellMar>
        <w:tblLook w:val="04A0" w:firstRow="1" w:lastRow="0" w:firstColumn="1" w:lastColumn="0" w:noHBand="0" w:noVBand="1"/>
      </w:tblPr>
      <w:tblGrid>
        <w:gridCol w:w="1251"/>
        <w:gridCol w:w="1756"/>
        <w:gridCol w:w="1867"/>
        <w:gridCol w:w="3140"/>
        <w:gridCol w:w="2165"/>
      </w:tblGrid>
      <w:tr w:rsidR="00796087" w:rsidRPr="00822C35" w14:paraId="6D268F4E" w14:textId="77777777" w:rsidTr="00822C35">
        <w:trPr>
          <w:tblCellSpacing w:w="15" w:type="dxa"/>
        </w:trPr>
        <w:tc>
          <w:tcPr>
            <w:tcW w:w="0" w:type="auto"/>
            <w:shd w:val="clear" w:color="auto" w:fill="666666"/>
            <w:tcMar>
              <w:top w:w="75" w:type="dxa"/>
              <w:left w:w="75" w:type="dxa"/>
              <w:bottom w:w="75" w:type="dxa"/>
              <w:right w:w="75" w:type="dxa"/>
            </w:tcMar>
            <w:hideMark/>
          </w:tcPr>
          <w:p w14:paraId="2D151899" w14:textId="77777777" w:rsidR="00822C35" w:rsidRPr="00822C35" w:rsidRDefault="00822C35" w:rsidP="00822C35">
            <w:pPr>
              <w:spacing w:after="120" w:line="240" w:lineRule="auto"/>
              <w:rPr>
                <w:b/>
                <w:bCs/>
                <w:sz w:val="24"/>
                <w:szCs w:val="24"/>
              </w:rPr>
            </w:pPr>
            <w:r w:rsidRPr="00822C35">
              <w:rPr>
                <w:b/>
                <w:bCs/>
                <w:sz w:val="24"/>
                <w:szCs w:val="24"/>
              </w:rPr>
              <w:t>Category of Awards</w:t>
            </w:r>
          </w:p>
        </w:tc>
        <w:tc>
          <w:tcPr>
            <w:tcW w:w="0" w:type="auto"/>
            <w:shd w:val="clear" w:color="auto" w:fill="666666"/>
            <w:tcMar>
              <w:top w:w="75" w:type="dxa"/>
              <w:left w:w="75" w:type="dxa"/>
              <w:bottom w:w="75" w:type="dxa"/>
              <w:right w:w="75" w:type="dxa"/>
            </w:tcMar>
            <w:hideMark/>
          </w:tcPr>
          <w:p w14:paraId="1D5D5F6E" w14:textId="77777777" w:rsidR="00822C35" w:rsidRPr="00822C35" w:rsidRDefault="00822C35" w:rsidP="00822C35">
            <w:pPr>
              <w:spacing w:after="120" w:line="240" w:lineRule="auto"/>
              <w:rPr>
                <w:b/>
                <w:bCs/>
                <w:sz w:val="24"/>
                <w:szCs w:val="24"/>
              </w:rPr>
            </w:pPr>
            <w:r w:rsidRPr="00822C35">
              <w:rPr>
                <w:b/>
                <w:bCs/>
                <w:sz w:val="24"/>
                <w:szCs w:val="24"/>
              </w:rPr>
              <w:t>Who can nominate?</w:t>
            </w:r>
          </w:p>
        </w:tc>
        <w:tc>
          <w:tcPr>
            <w:tcW w:w="0" w:type="auto"/>
            <w:shd w:val="clear" w:color="auto" w:fill="666666"/>
            <w:tcMar>
              <w:top w:w="75" w:type="dxa"/>
              <w:left w:w="75" w:type="dxa"/>
              <w:bottom w:w="75" w:type="dxa"/>
              <w:right w:w="75" w:type="dxa"/>
            </w:tcMar>
            <w:hideMark/>
          </w:tcPr>
          <w:p w14:paraId="2222BB21" w14:textId="77777777" w:rsidR="00822C35" w:rsidRPr="00822C35" w:rsidRDefault="00822C35" w:rsidP="00822C35">
            <w:pPr>
              <w:spacing w:after="120" w:line="240" w:lineRule="auto"/>
              <w:rPr>
                <w:b/>
                <w:bCs/>
                <w:sz w:val="24"/>
                <w:szCs w:val="24"/>
              </w:rPr>
            </w:pPr>
            <w:r w:rsidRPr="00822C35">
              <w:rPr>
                <w:b/>
                <w:bCs/>
                <w:sz w:val="24"/>
                <w:szCs w:val="24"/>
              </w:rPr>
              <w:t>Timing of Award</w:t>
            </w:r>
          </w:p>
        </w:tc>
        <w:tc>
          <w:tcPr>
            <w:tcW w:w="0" w:type="auto"/>
            <w:shd w:val="clear" w:color="auto" w:fill="666666"/>
            <w:tcMar>
              <w:top w:w="75" w:type="dxa"/>
              <w:left w:w="75" w:type="dxa"/>
              <w:bottom w:w="75" w:type="dxa"/>
              <w:right w:w="75" w:type="dxa"/>
            </w:tcMar>
            <w:hideMark/>
          </w:tcPr>
          <w:p w14:paraId="2971B55C" w14:textId="77777777" w:rsidR="00822C35" w:rsidRPr="00822C35" w:rsidRDefault="00822C35" w:rsidP="00822C35">
            <w:pPr>
              <w:spacing w:after="120" w:line="240" w:lineRule="auto"/>
              <w:rPr>
                <w:b/>
                <w:bCs/>
                <w:sz w:val="24"/>
                <w:szCs w:val="24"/>
              </w:rPr>
            </w:pPr>
            <w:r w:rsidRPr="00822C35">
              <w:rPr>
                <w:b/>
                <w:bCs/>
                <w:sz w:val="24"/>
                <w:szCs w:val="24"/>
              </w:rPr>
              <w:t>Type of Award</w:t>
            </w:r>
          </w:p>
        </w:tc>
        <w:tc>
          <w:tcPr>
            <w:tcW w:w="0" w:type="auto"/>
            <w:shd w:val="clear" w:color="auto" w:fill="666666"/>
            <w:tcMar>
              <w:top w:w="75" w:type="dxa"/>
              <w:left w:w="75" w:type="dxa"/>
              <w:bottom w:w="75" w:type="dxa"/>
              <w:right w:w="75" w:type="dxa"/>
            </w:tcMar>
            <w:hideMark/>
          </w:tcPr>
          <w:p w14:paraId="0A475222" w14:textId="77777777" w:rsidR="00822C35" w:rsidRPr="00822C35" w:rsidRDefault="00822C35" w:rsidP="00822C35">
            <w:pPr>
              <w:spacing w:after="120" w:line="240" w:lineRule="auto"/>
              <w:rPr>
                <w:b/>
                <w:bCs/>
                <w:sz w:val="24"/>
                <w:szCs w:val="24"/>
              </w:rPr>
            </w:pPr>
            <w:r w:rsidRPr="00822C35">
              <w:rPr>
                <w:b/>
                <w:bCs/>
                <w:sz w:val="24"/>
                <w:szCs w:val="24"/>
              </w:rPr>
              <w:t>Approval</w:t>
            </w:r>
          </w:p>
        </w:tc>
      </w:tr>
      <w:tr w:rsidR="00796087" w:rsidRPr="00822C35" w14:paraId="529FD3BA" w14:textId="77777777" w:rsidTr="00822C35">
        <w:trPr>
          <w:tblCellSpacing w:w="15" w:type="dxa"/>
        </w:trPr>
        <w:tc>
          <w:tcPr>
            <w:tcW w:w="0" w:type="auto"/>
            <w:shd w:val="clear" w:color="auto" w:fill="666666"/>
            <w:tcMar>
              <w:top w:w="75" w:type="dxa"/>
              <w:left w:w="75" w:type="dxa"/>
              <w:bottom w:w="75" w:type="dxa"/>
              <w:right w:w="75" w:type="dxa"/>
            </w:tcMar>
          </w:tcPr>
          <w:p w14:paraId="7B54A2EF" w14:textId="77777777" w:rsidR="00796087" w:rsidRPr="00822C35" w:rsidRDefault="00796087" w:rsidP="00822C35">
            <w:pPr>
              <w:spacing w:after="120" w:line="240" w:lineRule="auto"/>
              <w:rPr>
                <w:b/>
                <w:bCs/>
                <w:sz w:val="24"/>
                <w:szCs w:val="24"/>
              </w:rPr>
            </w:pPr>
            <w:r>
              <w:rPr>
                <w:b/>
                <w:bCs/>
                <w:sz w:val="24"/>
                <w:szCs w:val="24"/>
              </w:rPr>
              <w:t>Thank you</w:t>
            </w:r>
          </w:p>
        </w:tc>
        <w:tc>
          <w:tcPr>
            <w:tcW w:w="0" w:type="auto"/>
            <w:shd w:val="clear" w:color="auto" w:fill="E0E0E0"/>
            <w:tcMar>
              <w:top w:w="75" w:type="dxa"/>
              <w:left w:w="75" w:type="dxa"/>
              <w:bottom w:w="75" w:type="dxa"/>
              <w:right w:w="75" w:type="dxa"/>
            </w:tcMar>
          </w:tcPr>
          <w:p w14:paraId="78FBB7E9" w14:textId="77777777" w:rsidR="00796087" w:rsidRPr="00822C35" w:rsidRDefault="00796087" w:rsidP="00822C35">
            <w:pPr>
              <w:spacing w:after="120" w:line="240" w:lineRule="auto"/>
              <w:rPr>
                <w:sz w:val="24"/>
                <w:szCs w:val="24"/>
              </w:rPr>
            </w:pPr>
            <w:r>
              <w:rPr>
                <w:sz w:val="24"/>
                <w:szCs w:val="24"/>
              </w:rPr>
              <w:t>Anyone</w:t>
            </w:r>
          </w:p>
        </w:tc>
        <w:tc>
          <w:tcPr>
            <w:tcW w:w="0" w:type="auto"/>
            <w:shd w:val="clear" w:color="auto" w:fill="E0E0E0"/>
            <w:tcMar>
              <w:top w:w="75" w:type="dxa"/>
              <w:left w:w="75" w:type="dxa"/>
              <w:bottom w:w="75" w:type="dxa"/>
              <w:right w:w="75" w:type="dxa"/>
            </w:tcMar>
          </w:tcPr>
          <w:p w14:paraId="6BCB670B" w14:textId="77777777" w:rsidR="00796087" w:rsidRPr="00822C35" w:rsidRDefault="00796087" w:rsidP="00822C35">
            <w:pPr>
              <w:spacing w:after="120" w:line="240" w:lineRule="auto"/>
              <w:rPr>
                <w:sz w:val="24"/>
                <w:szCs w:val="24"/>
              </w:rPr>
            </w:pPr>
            <w:r>
              <w:rPr>
                <w:sz w:val="24"/>
                <w:szCs w:val="24"/>
              </w:rPr>
              <w:t>At any time</w:t>
            </w:r>
          </w:p>
        </w:tc>
        <w:tc>
          <w:tcPr>
            <w:tcW w:w="0" w:type="auto"/>
            <w:shd w:val="clear" w:color="auto" w:fill="E0E0E0"/>
            <w:tcMar>
              <w:top w:w="75" w:type="dxa"/>
              <w:left w:w="75" w:type="dxa"/>
              <w:bottom w:w="75" w:type="dxa"/>
              <w:right w:w="75" w:type="dxa"/>
            </w:tcMar>
          </w:tcPr>
          <w:p w14:paraId="753D0582" w14:textId="77777777" w:rsidR="00796087" w:rsidRPr="00796087" w:rsidRDefault="00796087" w:rsidP="00796087">
            <w:pPr>
              <w:numPr>
                <w:ilvl w:val="0"/>
                <w:numId w:val="19"/>
              </w:numPr>
              <w:spacing w:after="120" w:line="240" w:lineRule="auto"/>
              <w:rPr>
                <w:sz w:val="24"/>
                <w:szCs w:val="24"/>
              </w:rPr>
            </w:pPr>
            <w:r w:rsidRPr="00796087">
              <w:rPr>
                <w:sz w:val="24"/>
                <w:szCs w:val="24"/>
              </w:rPr>
              <w:t>eThank You cards and certificates</w:t>
            </w:r>
          </w:p>
          <w:p w14:paraId="41093773" w14:textId="77777777" w:rsidR="00796087" w:rsidRPr="00822C35" w:rsidRDefault="00796087" w:rsidP="00796087">
            <w:pPr>
              <w:spacing w:after="120" w:line="240" w:lineRule="auto"/>
              <w:ind w:left="720"/>
              <w:rPr>
                <w:sz w:val="24"/>
                <w:szCs w:val="24"/>
              </w:rPr>
            </w:pPr>
          </w:p>
        </w:tc>
        <w:tc>
          <w:tcPr>
            <w:tcW w:w="0" w:type="auto"/>
            <w:shd w:val="clear" w:color="auto" w:fill="E0E0E0"/>
            <w:tcMar>
              <w:top w:w="75" w:type="dxa"/>
              <w:left w:w="75" w:type="dxa"/>
              <w:bottom w:w="75" w:type="dxa"/>
              <w:right w:w="75" w:type="dxa"/>
            </w:tcMar>
          </w:tcPr>
          <w:p w14:paraId="19A10DEC" w14:textId="77777777" w:rsidR="00796087" w:rsidRPr="00822C35" w:rsidRDefault="00796087" w:rsidP="00796087">
            <w:pPr>
              <w:spacing w:after="120" w:line="240" w:lineRule="auto"/>
              <w:rPr>
                <w:sz w:val="24"/>
                <w:szCs w:val="24"/>
              </w:rPr>
            </w:pPr>
            <w:r>
              <w:rPr>
                <w:sz w:val="24"/>
                <w:szCs w:val="24"/>
              </w:rPr>
              <w:t xml:space="preserve">None – card gets sent straight after making the nomination  </w:t>
            </w:r>
          </w:p>
        </w:tc>
      </w:tr>
      <w:tr w:rsidR="00796087" w:rsidRPr="00822C35" w14:paraId="6E393711" w14:textId="77777777" w:rsidTr="00822C35">
        <w:trPr>
          <w:tblCellSpacing w:w="15" w:type="dxa"/>
        </w:trPr>
        <w:tc>
          <w:tcPr>
            <w:tcW w:w="0" w:type="auto"/>
            <w:shd w:val="clear" w:color="auto" w:fill="666666"/>
            <w:tcMar>
              <w:top w:w="75" w:type="dxa"/>
              <w:left w:w="75" w:type="dxa"/>
              <w:bottom w:w="75" w:type="dxa"/>
              <w:right w:w="75" w:type="dxa"/>
            </w:tcMar>
            <w:hideMark/>
          </w:tcPr>
          <w:p w14:paraId="588A5ADD" w14:textId="77777777" w:rsidR="00822C35" w:rsidRPr="00822C35" w:rsidRDefault="00822C35" w:rsidP="00822C35">
            <w:pPr>
              <w:spacing w:after="120" w:line="240" w:lineRule="auto"/>
              <w:rPr>
                <w:b/>
                <w:bCs/>
                <w:sz w:val="24"/>
                <w:szCs w:val="24"/>
              </w:rPr>
            </w:pPr>
            <w:r w:rsidRPr="00822C35">
              <w:rPr>
                <w:b/>
                <w:bCs/>
                <w:sz w:val="24"/>
                <w:szCs w:val="24"/>
              </w:rPr>
              <w:t>Bronze</w:t>
            </w:r>
          </w:p>
        </w:tc>
        <w:tc>
          <w:tcPr>
            <w:tcW w:w="0" w:type="auto"/>
            <w:shd w:val="clear" w:color="auto" w:fill="E0E0E0"/>
            <w:tcMar>
              <w:top w:w="75" w:type="dxa"/>
              <w:left w:w="75" w:type="dxa"/>
              <w:bottom w:w="75" w:type="dxa"/>
              <w:right w:w="75" w:type="dxa"/>
            </w:tcMar>
            <w:hideMark/>
          </w:tcPr>
          <w:p w14:paraId="4ECCB763" w14:textId="77777777" w:rsidR="00822C35" w:rsidRPr="00822C35" w:rsidRDefault="00822C35" w:rsidP="00822C35">
            <w:pPr>
              <w:spacing w:after="120" w:line="240" w:lineRule="auto"/>
              <w:rPr>
                <w:sz w:val="24"/>
                <w:szCs w:val="24"/>
              </w:rPr>
            </w:pPr>
            <w:r w:rsidRPr="00822C35">
              <w:rPr>
                <w:sz w:val="24"/>
                <w:szCs w:val="24"/>
              </w:rPr>
              <w:t xml:space="preserve">Line Managers </w:t>
            </w:r>
          </w:p>
          <w:p w14:paraId="1EA42869" w14:textId="77777777" w:rsidR="00822C35" w:rsidRPr="00822C35" w:rsidRDefault="00822C35" w:rsidP="00822C35">
            <w:pPr>
              <w:spacing w:after="120" w:line="240" w:lineRule="auto"/>
              <w:rPr>
                <w:sz w:val="24"/>
                <w:szCs w:val="24"/>
              </w:rPr>
            </w:pPr>
            <w:r w:rsidRPr="00822C35">
              <w:rPr>
                <w:sz w:val="24"/>
                <w:szCs w:val="24"/>
              </w:rPr>
              <w:t>Colleague-to-colleague nominations</w:t>
            </w:r>
          </w:p>
        </w:tc>
        <w:tc>
          <w:tcPr>
            <w:tcW w:w="0" w:type="auto"/>
            <w:shd w:val="clear" w:color="auto" w:fill="E0E0E0"/>
            <w:tcMar>
              <w:top w:w="75" w:type="dxa"/>
              <w:left w:w="75" w:type="dxa"/>
              <w:bottom w:w="75" w:type="dxa"/>
              <w:right w:w="75" w:type="dxa"/>
            </w:tcMar>
            <w:hideMark/>
          </w:tcPr>
          <w:p w14:paraId="1AAEF6A6" w14:textId="77777777" w:rsidR="00822C35" w:rsidRPr="00822C35" w:rsidRDefault="00822C35" w:rsidP="00822C35">
            <w:pPr>
              <w:spacing w:after="120" w:line="240" w:lineRule="auto"/>
              <w:rPr>
                <w:sz w:val="24"/>
                <w:szCs w:val="24"/>
              </w:rPr>
            </w:pPr>
            <w:r w:rsidRPr="00822C35">
              <w:rPr>
                <w:sz w:val="24"/>
                <w:szCs w:val="24"/>
              </w:rPr>
              <w:t>Can be awarded at any point throughout the year</w:t>
            </w:r>
          </w:p>
        </w:tc>
        <w:tc>
          <w:tcPr>
            <w:tcW w:w="0" w:type="auto"/>
            <w:shd w:val="clear" w:color="auto" w:fill="E0E0E0"/>
            <w:tcMar>
              <w:top w:w="75" w:type="dxa"/>
              <w:left w:w="75" w:type="dxa"/>
              <w:bottom w:w="75" w:type="dxa"/>
              <w:right w:w="75" w:type="dxa"/>
            </w:tcMar>
            <w:hideMark/>
          </w:tcPr>
          <w:p w14:paraId="4539021D" w14:textId="77777777" w:rsidR="00822C35" w:rsidRPr="00822C35" w:rsidRDefault="00822C35" w:rsidP="00822C35">
            <w:pPr>
              <w:numPr>
                <w:ilvl w:val="0"/>
                <w:numId w:val="19"/>
              </w:numPr>
              <w:spacing w:after="120" w:line="240" w:lineRule="auto"/>
              <w:rPr>
                <w:sz w:val="24"/>
                <w:szCs w:val="24"/>
              </w:rPr>
            </w:pPr>
            <w:r w:rsidRPr="00822C35">
              <w:rPr>
                <w:sz w:val="24"/>
                <w:szCs w:val="24"/>
              </w:rPr>
              <w:t>eVouchers - £25, £50, £100, £250 and £500</w:t>
            </w:r>
          </w:p>
        </w:tc>
        <w:tc>
          <w:tcPr>
            <w:tcW w:w="0" w:type="auto"/>
            <w:shd w:val="clear" w:color="auto" w:fill="E0E0E0"/>
            <w:tcMar>
              <w:top w:w="75" w:type="dxa"/>
              <w:left w:w="75" w:type="dxa"/>
              <w:bottom w:w="75" w:type="dxa"/>
              <w:right w:w="75" w:type="dxa"/>
            </w:tcMar>
            <w:hideMark/>
          </w:tcPr>
          <w:p w14:paraId="3712FB23" w14:textId="77777777" w:rsidR="00822C35" w:rsidRPr="00822C35" w:rsidRDefault="00822C35" w:rsidP="00822C35">
            <w:pPr>
              <w:spacing w:after="120" w:line="240" w:lineRule="auto"/>
              <w:rPr>
                <w:sz w:val="24"/>
                <w:szCs w:val="24"/>
              </w:rPr>
            </w:pPr>
            <w:r w:rsidRPr="00822C35">
              <w:rPr>
                <w:sz w:val="24"/>
                <w:szCs w:val="24"/>
              </w:rPr>
              <w:t>Above and Beyond Budget holder</w:t>
            </w:r>
          </w:p>
        </w:tc>
      </w:tr>
      <w:tr w:rsidR="00796087" w:rsidRPr="00822C35" w14:paraId="15C0F1E0" w14:textId="77777777" w:rsidTr="00822C35">
        <w:trPr>
          <w:tblCellSpacing w:w="15" w:type="dxa"/>
        </w:trPr>
        <w:tc>
          <w:tcPr>
            <w:tcW w:w="0" w:type="auto"/>
            <w:shd w:val="clear" w:color="auto" w:fill="666666"/>
            <w:tcMar>
              <w:top w:w="75" w:type="dxa"/>
              <w:left w:w="75" w:type="dxa"/>
              <w:bottom w:w="75" w:type="dxa"/>
              <w:right w:w="75" w:type="dxa"/>
            </w:tcMar>
            <w:hideMark/>
          </w:tcPr>
          <w:p w14:paraId="240280B6" w14:textId="77777777" w:rsidR="00822C35" w:rsidRPr="00822C35" w:rsidRDefault="00822C35" w:rsidP="00822C35">
            <w:pPr>
              <w:spacing w:after="120" w:line="240" w:lineRule="auto"/>
              <w:rPr>
                <w:b/>
                <w:bCs/>
                <w:sz w:val="24"/>
                <w:szCs w:val="24"/>
              </w:rPr>
            </w:pPr>
            <w:r w:rsidRPr="00822C35">
              <w:rPr>
                <w:b/>
                <w:bCs/>
                <w:sz w:val="24"/>
                <w:szCs w:val="24"/>
              </w:rPr>
              <w:t>Silver</w:t>
            </w:r>
          </w:p>
        </w:tc>
        <w:tc>
          <w:tcPr>
            <w:tcW w:w="0" w:type="auto"/>
            <w:shd w:val="clear" w:color="auto" w:fill="E0E0E0"/>
            <w:tcMar>
              <w:top w:w="75" w:type="dxa"/>
              <w:left w:w="75" w:type="dxa"/>
              <w:bottom w:w="75" w:type="dxa"/>
              <w:right w:w="75" w:type="dxa"/>
            </w:tcMar>
            <w:hideMark/>
          </w:tcPr>
          <w:p w14:paraId="0F109193" w14:textId="77777777" w:rsidR="00822C35" w:rsidRPr="00822C35" w:rsidRDefault="00822C35" w:rsidP="00822C35">
            <w:pPr>
              <w:spacing w:after="120" w:line="240" w:lineRule="auto"/>
              <w:rPr>
                <w:sz w:val="24"/>
                <w:szCs w:val="24"/>
              </w:rPr>
            </w:pPr>
            <w:r w:rsidRPr="00822C35">
              <w:rPr>
                <w:sz w:val="24"/>
                <w:szCs w:val="24"/>
              </w:rPr>
              <w:t>Line Managers</w:t>
            </w:r>
          </w:p>
        </w:tc>
        <w:tc>
          <w:tcPr>
            <w:tcW w:w="0" w:type="auto"/>
            <w:shd w:val="clear" w:color="auto" w:fill="E0E0E0"/>
            <w:tcMar>
              <w:top w:w="75" w:type="dxa"/>
              <w:left w:w="75" w:type="dxa"/>
              <w:bottom w:w="75" w:type="dxa"/>
              <w:right w:w="75" w:type="dxa"/>
            </w:tcMar>
            <w:hideMark/>
          </w:tcPr>
          <w:p w14:paraId="09AD6483" w14:textId="77777777" w:rsidR="00822C35" w:rsidRPr="00822C35" w:rsidRDefault="00822C35" w:rsidP="00822C35">
            <w:pPr>
              <w:spacing w:after="120" w:line="240" w:lineRule="auto"/>
              <w:rPr>
                <w:sz w:val="24"/>
                <w:szCs w:val="24"/>
              </w:rPr>
            </w:pPr>
            <w:r w:rsidRPr="00822C35">
              <w:rPr>
                <w:sz w:val="24"/>
                <w:szCs w:val="24"/>
              </w:rPr>
              <w:t>Can be awarded at any point throughout the year</w:t>
            </w:r>
          </w:p>
        </w:tc>
        <w:tc>
          <w:tcPr>
            <w:tcW w:w="0" w:type="auto"/>
            <w:shd w:val="clear" w:color="auto" w:fill="E0E0E0"/>
            <w:tcMar>
              <w:top w:w="75" w:type="dxa"/>
              <w:left w:w="75" w:type="dxa"/>
              <w:bottom w:w="75" w:type="dxa"/>
              <w:right w:w="75" w:type="dxa"/>
            </w:tcMar>
            <w:hideMark/>
          </w:tcPr>
          <w:p w14:paraId="5BF59A3A" w14:textId="77777777" w:rsidR="00822C35" w:rsidRPr="00822C35" w:rsidRDefault="00822C35" w:rsidP="00822C35">
            <w:pPr>
              <w:numPr>
                <w:ilvl w:val="0"/>
                <w:numId w:val="20"/>
              </w:numPr>
              <w:spacing w:after="120" w:line="240" w:lineRule="auto"/>
              <w:rPr>
                <w:sz w:val="24"/>
                <w:szCs w:val="24"/>
              </w:rPr>
            </w:pPr>
            <w:r w:rsidRPr="00822C35">
              <w:rPr>
                <w:sz w:val="24"/>
                <w:szCs w:val="24"/>
              </w:rPr>
              <w:t>Cash - £750, £1000, £2000, £3000 and £4000 (providing they are less than 10% of salary)</w:t>
            </w:r>
          </w:p>
        </w:tc>
        <w:tc>
          <w:tcPr>
            <w:tcW w:w="0" w:type="auto"/>
            <w:shd w:val="clear" w:color="auto" w:fill="E0E0E0"/>
            <w:tcMar>
              <w:top w:w="75" w:type="dxa"/>
              <w:left w:w="75" w:type="dxa"/>
              <w:bottom w:w="75" w:type="dxa"/>
              <w:right w:w="75" w:type="dxa"/>
            </w:tcMar>
            <w:hideMark/>
          </w:tcPr>
          <w:p w14:paraId="782A9C73" w14:textId="77777777" w:rsidR="00822C35" w:rsidRPr="00822C35" w:rsidRDefault="00822C35" w:rsidP="00822C35">
            <w:pPr>
              <w:spacing w:after="120" w:line="240" w:lineRule="auto"/>
              <w:rPr>
                <w:sz w:val="24"/>
                <w:szCs w:val="24"/>
              </w:rPr>
            </w:pPr>
            <w:r w:rsidRPr="00822C35">
              <w:rPr>
                <w:sz w:val="24"/>
                <w:szCs w:val="24"/>
              </w:rPr>
              <w:t>PVC/Director of Service </w:t>
            </w:r>
          </w:p>
        </w:tc>
      </w:tr>
    </w:tbl>
    <w:p w14:paraId="260BC8DC" w14:textId="77777777" w:rsidR="00822C35" w:rsidRPr="00822C35" w:rsidRDefault="00822C35" w:rsidP="00822C35">
      <w:pPr>
        <w:spacing w:after="120" w:line="240" w:lineRule="auto"/>
        <w:rPr>
          <w:sz w:val="24"/>
          <w:szCs w:val="24"/>
        </w:rPr>
      </w:pPr>
    </w:p>
    <w:p w14:paraId="2D257963" w14:textId="77777777" w:rsidR="00822C35" w:rsidRPr="00822C35" w:rsidRDefault="00822C35" w:rsidP="00822C35">
      <w:pPr>
        <w:spacing w:after="120" w:line="240" w:lineRule="auto"/>
        <w:rPr>
          <w:sz w:val="24"/>
          <w:szCs w:val="24"/>
        </w:rPr>
      </w:pPr>
      <w:r w:rsidRPr="00822C35">
        <w:rPr>
          <w:sz w:val="24"/>
          <w:szCs w:val="24"/>
        </w:rPr>
        <w:t>Example of some bronze case studies</w:t>
      </w:r>
    </w:p>
    <w:p w14:paraId="11AEA029" w14:textId="77777777" w:rsidR="00822C35" w:rsidRPr="00822C35" w:rsidRDefault="00822C35" w:rsidP="00822C35">
      <w:pPr>
        <w:numPr>
          <w:ilvl w:val="0"/>
          <w:numId w:val="21"/>
        </w:numPr>
        <w:spacing w:after="120" w:line="240" w:lineRule="auto"/>
        <w:rPr>
          <w:sz w:val="24"/>
          <w:szCs w:val="24"/>
          <w:lang w:val="en"/>
        </w:rPr>
      </w:pPr>
      <w:r w:rsidRPr="00822C35">
        <w:rPr>
          <w:sz w:val="24"/>
          <w:szCs w:val="24"/>
          <w:lang w:val="en"/>
        </w:rPr>
        <w:t>£25 award:  "Extra care and attention spent on ensuring facilities were of a high standard.  The detail the nominee went to is more than expected and they did a great job which often goes unappreciated" –</w:t>
      </w:r>
    </w:p>
    <w:p w14:paraId="73430C86" w14:textId="77777777" w:rsidR="00822C35" w:rsidRPr="00822C35" w:rsidRDefault="00822C35" w:rsidP="00822C35">
      <w:pPr>
        <w:numPr>
          <w:ilvl w:val="0"/>
          <w:numId w:val="21"/>
        </w:numPr>
        <w:spacing w:after="120" w:line="240" w:lineRule="auto"/>
        <w:rPr>
          <w:sz w:val="24"/>
          <w:szCs w:val="24"/>
          <w:lang w:val="en"/>
        </w:rPr>
      </w:pPr>
      <w:r w:rsidRPr="00822C35">
        <w:rPr>
          <w:sz w:val="24"/>
          <w:szCs w:val="24"/>
          <w:lang w:val="en"/>
        </w:rPr>
        <w:t>£</w:t>
      </w:r>
      <w:r w:rsidR="00796087">
        <w:rPr>
          <w:sz w:val="24"/>
          <w:szCs w:val="24"/>
          <w:lang w:val="en"/>
        </w:rPr>
        <w:t>50</w:t>
      </w:r>
      <w:r w:rsidRPr="00822C35">
        <w:rPr>
          <w:sz w:val="24"/>
          <w:szCs w:val="24"/>
          <w:lang w:val="en"/>
        </w:rPr>
        <w:t xml:space="preserve"> award:  "Organising a teaching programme which was exceptionally tricky, with major changes having to be made only days before the start of term, your ability to solve a range of highly difficult logistical challenges and to do so with calm and good humour" - </w:t>
      </w:r>
    </w:p>
    <w:p w14:paraId="6E446364" w14:textId="77777777" w:rsidR="00822C35" w:rsidRPr="00822C35" w:rsidRDefault="00822C35" w:rsidP="00822C35">
      <w:pPr>
        <w:numPr>
          <w:ilvl w:val="0"/>
          <w:numId w:val="21"/>
        </w:numPr>
        <w:spacing w:after="120" w:line="240" w:lineRule="auto"/>
        <w:rPr>
          <w:sz w:val="24"/>
          <w:szCs w:val="24"/>
          <w:lang w:val="en"/>
        </w:rPr>
      </w:pPr>
      <w:r w:rsidRPr="00822C35">
        <w:rPr>
          <w:sz w:val="24"/>
          <w:szCs w:val="24"/>
          <w:lang w:val="en"/>
        </w:rPr>
        <w:t xml:space="preserve">£100 award:  "For successfully bringing together colleagues from all aspects of the University to explore the synergy between research and education.  The feedback from participants were overwhelmingly positive" - </w:t>
      </w:r>
    </w:p>
    <w:p w14:paraId="50A5F720" w14:textId="77777777" w:rsidR="00822C35" w:rsidRPr="00822C35" w:rsidRDefault="00822C35" w:rsidP="00822C35">
      <w:pPr>
        <w:numPr>
          <w:ilvl w:val="0"/>
          <w:numId w:val="21"/>
        </w:numPr>
        <w:spacing w:after="120" w:line="240" w:lineRule="auto"/>
        <w:rPr>
          <w:sz w:val="24"/>
          <w:szCs w:val="24"/>
          <w:lang w:val="en"/>
        </w:rPr>
      </w:pPr>
      <w:r w:rsidRPr="00822C35">
        <w:rPr>
          <w:sz w:val="24"/>
          <w:szCs w:val="24"/>
          <w:lang w:val="en"/>
        </w:rPr>
        <w:t>£250 award:  "For diligence and meticulousness, highly valued by colleagues and for all the extra work that has been taken on, overseeing the team's finances, this year has provided stability and reassurance during a challenging time" –</w:t>
      </w:r>
    </w:p>
    <w:p w14:paraId="0A0673F3" w14:textId="77777777" w:rsidR="00DC4B80" w:rsidRDefault="00822C35" w:rsidP="00A7528E">
      <w:pPr>
        <w:pStyle w:val="ListParagraph"/>
        <w:numPr>
          <w:ilvl w:val="0"/>
          <w:numId w:val="21"/>
        </w:numPr>
        <w:spacing w:after="120" w:line="240" w:lineRule="auto"/>
      </w:pPr>
      <w:r w:rsidRPr="00796087">
        <w:rPr>
          <w:sz w:val="24"/>
          <w:szCs w:val="24"/>
          <w:lang w:val="en"/>
        </w:rPr>
        <w:t>£500 award:  "For expertly leading the development of a number of high-profile research initiatives during the academic year, Showing exceptional</w:t>
      </w:r>
      <w:r w:rsidRPr="00796087">
        <w:rPr>
          <w:sz w:val="24"/>
          <w:szCs w:val="24"/>
        </w:rPr>
        <w:t xml:space="preserve"> organisational</w:t>
      </w:r>
      <w:r w:rsidRPr="00796087">
        <w:rPr>
          <w:sz w:val="24"/>
          <w:szCs w:val="24"/>
          <w:lang w:val="en"/>
        </w:rPr>
        <w:t>, project management and communication skills, all initiatives were successfully implemented on time"</w:t>
      </w:r>
    </w:p>
    <w:sectPr w:rsidR="00DC4B8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89AED" w14:textId="77777777" w:rsidR="00685702" w:rsidRDefault="00685702" w:rsidP="006F55D5">
      <w:pPr>
        <w:spacing w:after="0" w:line="240" w:lineRule="auto"/>
      </w:pPr>
      <w:r>
        <w:separator/>
      </w:r>
    </w:p>
  </w:endnote>
  <w:endnote w:type="continuationSeparator" w:id="0">
    <w:p w14:paraId="18ECDA11" w14:textId="77777777" w:rsidR="00685702" w:rsidRDefault="00685702" w:rsidP="006F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E547" w14:textId="77777777" w:rsidR="00685702" w:rsidRDefault="00685702" w:rsidP="006F55D5">
      <w:pPr>
        <w:spacing w:after="0" w:line="240" w:lineRule="auto"/>
      </w:pPr>
      <w:r>
        <w:separator/>
      </w:r>
    </w:p>
  </w:footnote>
  <w:footnote w:type="continuationSeparator" w:id="0">
    <w:p w14:paraId="73408AA4" w14:textId="77777777" w:rsidR="00685702" w:rsidRDefault="00685702" w:rsidP="006F5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99C2" w14:textId="77777777" w:rsidR="00AC1D05" w:rsidRDefault="00AC1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621A"/>
    <w:multiLevelType w:val="hybridMultilevel"/>
    <w:tmpl w:val="9EB2C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B6352"/>
    <w:multiLevelType w:val="hybridMultilevel"/>
    <w:tmpl w:val="0AA8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21579"/>
    <w:multiLevelType w:val="hybridMultilevel"/>
    <w:tmpl w:val="E90050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54A7FAB"/>
    <w:multiLevelType w:val="hybridMultilevel"/>
    <w:tmpl w:val="AC0A9C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006393"/>
    <w:multiLevelType w:val="hybridMultilevel"/>
    <w:tmpl w:val="31FAC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666716"/>
    <w:multiLevelType w:val="hybridMultilevel"/>
    <w:tmpl w:val="FABA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1761C"/>
    <w:multiLevelType w:val="hybridMultilevel"/>
    <w:tmpl w:val="22A67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DA7CA7"/>
    <w:multiLevelType w:val="multilevel"/>
    <w:tmpl w:val="CCD6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13247"/>
    <w:multiLevelType w:val="hybridMultilevel"/>
    <w:tmpl w:val="2936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4502B"/>
    <w:multiLevelType w:val="hybridMultilevel"/>
    <w:tmpl w:val="722C61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9485E69"/>
    <w:multiLevelType w:val="hybridMultilevel"/>
    <w:tmpl w:val="7262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5201D"/>
    <w:multiLevelType w:val="hybridMultilevel"/>
    <w:tmpl w:val="73225A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8C0423F"/>
    <w:multiLevelType w:val="hybridMultilevel"/>
    <w:tmpl w:val="3EF810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B9964F9"/>
    <w:multiLevelType w:val="multilevel"/>
    <w:tmpl w:val="EA40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C56B24"/>
    <w:multiLevelType w:val="hybridMultilevel"/>
    <w:tmpl w:val="D7268C40"/>
    <w:lvl w:ilvl="0" w:tplc="3800A73A">
      <w:start w:val="1"/>
      <w:numFmt w:val="decimal"/>
      <w:lvlText w:val="%1."/>
      <w:lvlJc w:val="left"/>
      <w:pPr>
        <w:ind w:left="360" w:hanging="360"/>
      </w:pPr>
      <w:rPr>
        <w:rFonts w:ascii="Arial" w:hAnsi="Arial" w:cs="Times New Roman" w:hint="default"/>
        <w:b w:val="0"/>
        <w:i w:val="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535E0994"/>
    <w:multiLevelType w:val="hybridMultilevel"/>
    <w:tmpl w:val="36C0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D1697"/>
    <w:multiLevelType w:val="multilevel"/>
    <w:tmpl w:val="9186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3927D3"/>
    <w:multiLevelType w:val="multilevel"/>
    <w:tmpl w:val="1D7C6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83AD7"/>
    <w:multiLevelType w:val="hybridMultilevel"/>
    <w:tmpl w:val="E7B0FA56"/>
    <w:lvl w:ilvl="0" w:tplc="7BDC416E">
      <w:start w:val="1"/>
      <w:numFmt w:val="decimal"/>
      <w:lvlText w:val="%1."/>
      <w:lvlJc w:val="left"/>
      <w:pPr>
        <w:ind w:left="1068"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1"/>
  </w:num>
  <w:num w:numId="3">
    <w:abstractNumId w:val="2"/>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5"/>
  </w:num>
  <w:num w:numId="9">
    <w:abstractNumId w:val="10"/>
  </w:num>
  <w:num w:numId="10">
    <w:abstractNumId w:val="6"/>
  </w:num>
  <w:num w:numId="11">
    <w:abstractNumId w:val="4"/>
  </w:num>
  <w:num w:numId="12">
    <w:abstractNumId w:val="3"/>
  </w:num>
  <w:num w:numId="13">
    <w:abstractNumId w:val="12"/>
  </w:num>
  <w:num w:numId="14">
    <w:abstractNumId w:val="15"/>
  </w:num>
  <w:num w:numId="15">
    <w:abstractNumId w:val="8"/>
  </w:num>
  <w:num w:numId="16">
    <w:abstractNumId w:val="1"/>
  </w:num>
  <w:num w:numId="17">
    <w:abstractNumId w:val="0"/>
  </w:num>
  <w:num w:numId="18">
    <w:abstractNumId w:val="18"/>
  </w:num>
  <w:num w:numId="19">
    <w:abstractNumId w:val="13"/>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5D5"/>
    <w:rsid w:val="00055195"/>
    <w:rsid w:val="00067B80"/>
    <w:rsid w:val="00073D2C"/>
    <w:rsid w:val="000743D4"/>
    <w:rsid w:val="00080205"/>
    <w:rsid w:val="000A1F19"/>
    <w:rsid w:val="000C56A3"/>
    <w:rsid w:val="000D2F1D"/>
    <w:rsid w:val="000E1754"/>
    <w:rsid w:val="001472BA"/>
    <w:rsid w:val="001517B5"/>
    <w:rsid w:val="001622A7"/>
    <w:rsid w:val="00184BDD"/>
    <w:rsid w:val="001C74C0"/>
    <w:rsid w:val="001E7323"/>
    <w:rsid w:val="00202D71"/>
    <w:rsid w:val="002124DA"/>
    <w:rsid w:val="0024031B"/>
    <w:rsid w:val="0027443D"/>
    <w:rsid w:val="00277616"/>
    <w:rsid w:val="00291356"/>
    <w:rsid w:val="002A158A"/>
    <w:rsid w:val="002D5E3A"/>
    <w:rsid w:val="002D7BB7"/>
    <w:rsid w:val="003179B3"/>
    <w:rsid w:val="00346295"/>
    <w:rsid w:val="00347E6F"/>
    <w:rsid w:val="00355481"/>
    <w:rsid w:val="00385438"/>
    <w:rsid w:val="003B05D4"/>
    <w:rsid w:val="003B1C12"/>
    <w:rsid w:val="003D1786"/>
    <w:rsid w:val="003D1D37"/>
    <w:rsid w:val="003D251A"/>
    <w:rsid w:val="003D56F3"/>
    <w:rsid w:val="003F75F6"/>
    <w:rsid w:val="00434D2E"/>
    <w:rsid w:val="004417ED"/>
    <w:rsid w:val="004636F9"/>
    <w:rsid w:val="004A1225"/>
    <w:rsid w:val="004B6D27"/>
    <w:rsid w:val="00501D3C"/>
    <w:rsid w:val="0051671F"/>
    <w:rsid w:val="005404CC"/>
    <w:rsid w:val="00542343"/>
    <w:rsid w:val="0055505B"/>
    <w:rsid w:val="005B1B19"/>
    <w:rsid w:val="006156E2"/>
    <w:rsid w:val="00662411"/>
    <w:rsid w:val="00685702"/>
    <w:rsid w:val="00686925"/>
    <w:rsid w:val="006961D9"/>
    <w:rsid w:val="00696AB9"/>
    <w:rsid w:val="006C60D4"/>
    <w:rsid w:val="006D09FE"/>
    <w:rsid w:val="006D385B"/>
    <w:rsid w:val="006F55D5"/>
    <w:rsid w:val="00737AB0"/>
    <w:rsid w:val="007423B9"/>
    <w:rsid w:val="0074460B"/>
    <w:rsid w:val="007472D8"/>
    <w:rsid w:val="00763E03"/>
    <w:rsid w:val="00784B18"/>
    <w:rsid w:val="00796087"/>
    <w:rsid w:val="007B098C"/>
    <w:rsid w:val="007B3C7F"/>
    <w:rsid w:val="007B4987"/>
    <w:rsid w:val="007C6F46"/>
    <w:rsid w:val="007F105D"/>
    <w:rsid w:val="00822C35"/>
    <w:rsid w:val="00833FB5"/>
    <w:rsid w:val="00840B0A"/>
    <w:rsid w:val="00911538"/>
    <w:rsid w:val="00912E04"/>
    <w:rsid w:val="00926058"/>
    <w:rsid w:val="00952DCA"/>
    <w:rsid w:val="009C5951"/>
    <w:rsid w:val="009F5187"/>
    <w:rsid w:val="00A22915"/>
    <w:rsid w:val="00A25D71"/>
    <w:rsid w:val="00A35D0F"/>
    <w:rsid w:val="00A419EE"/>
    <w:rsid w:val="00A77643"/>
    <w:rsid w:val="00A92317"/>
    <w:rsid w:val="00A93B97"/>
    <w:rsid w:val="00AB13D1"/>
    <w:rsid w:val="00AB1BD9"/>
    <w:rsid w:val="00AC1D05"/>
    <w:rsid w:val="00AD534A"/>
    <w:rsid w:val="00AE747C"/>
    <w:rsid w:val="00B4519B"/>
    <w:rsid w:val="00B533E8"/>
    <w:rsid w:val="00B53F3E"/>
    <w:rsid w:val="00B76B4F"/>
    <w:rsid w:val="00B9396A"/>
    <w:rsid w:val="00BA2000"/>
    <w:rsid w:val="00C162F8"/>
    <w:rsid w:val="00C36A9E"/>
    <w:rsid w:val="00C4066C"/>
    <w:rsid w:val="00C94AEC"/>
    <w:rsid w:val="00D15ED7"/>
    <w:rsid w:val="00D178AF"/>
    <w:rsid w:val="00DA4494"/>
    <w:rsid w:val="00DA7A82"/>
    <w:rsid w:val="00DB021F"/>
    <w:rsid w:val="00DB143F"/>
    <w:rsid w:val="00DC4B80"/>
    <w:rsid w:val="00DE36F7"/>
    <w:rsid w:val="00E36AFB"/>
    <w:rsid w:val="00E415FB"/>
    <w:rsid w:val="00E53BDC"/>
    <w:rsid w:val="00E546BF"/>
    <w:rsid w:val="00E652D0"/>
    <w:rsid w:val="00E671EF"/>
    <w:rsid w:val="00EB6AAB"/>
    <w:rsid w:val="00EC2CC0"/>
    <w:rsid w:val="00EE2DD9"/>
    <w:rsid w:val="00F17236"/>
    <w:rsid w:val="00F175C9"/>
    <w:rsid w:val="00F208FC"/>
    <w:rsid w:val="00F27DDE"/>
    <w:rsid w:val="00F47C1D"/>
    <w:rsid w:val="00F5535E"/>
    <w:rsid w:val="00F55BEE"/>
    <w:rsid w:val="00F66E5F"/>
    <w:rsid w:val="00F96B3B"/>
    <w:rsid w:val="00FC0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C3F4"/>
  <w15:chartTrackingRefBased/>
  <w15:docId w15:val="{82CA103E-34F5-4547-A98E-EB458EDF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6F55D5"/>
    <w:rPr>
      <w:color w:val="00949E"/>
      <w:u w:val="single"/>
    </w:rPr>
  </w:style>
  <w:style w:type="paragraph" w:styleId="FootnoteText">
    <w:name w:val="footnote text"/>
    <w:basedOn w:val="Normal"/>
    <w:link w:val="FootnoteTextChar"/>
    <w:uiPriority w:val="99"/>
    <w:semiHidden/>
    <w:unhideWhenUsed/>
    <w:rsid w:val="006F55D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F55D5"/>
    <w:rPr>
      <w:rFonts w:ascii="Calibri" w:eastAsia="Calibri" w:hAnsi="Calibri" w:cs="Times New Roman"/>
      <w:sz w:val="20"/>
      <w:szCs w:val="20"/>
    </w:rPr>
  </w:style>
  <w:style w:type="character" w:styleId="FootnoteReference">
    <w:name w:val="footnote reference"/>
    <w:uiPriority w:val="99"/>
    <w:semiHidden/>
    <w:unhideWhenUsed/>
    <w:rsid w:val="006F55D5"/>
    <w:rPr>
      <w:vertAlign w:val="superscript"/>
    </w:rPr>
  </w:style>
  <w:style w:type="paragraph" w:styleId="ListParagraph">
    <w:name w:val="List Paragraph"/>
    <w:basedOn w:val="Normal"/>
    <w:uiPriority w:val="34"/>
    <w:qFormat/>
    <w:rsid w:val="00080205"/>
    <w:pPr>
      <w:ind w:left="720"/>
      <w:contextualSpacing/>
    </w:pPr>
  </w:style>
  <w:style w:type="paragraph" w:styleId="Header">
    <w:name w:val="header"/>
    <w:basedOn w:val="Normal"/>
    <w:link w:val="HeaderChar"/>
    <w:uiPriority w:val="99"/>
    <w:unhideWhenUsed/>
    <w:rsid w:val="00AC1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D05"/>
  </w:style>
  <w:style w:type="paragraph" w:styleId="Footer">
    <w:name w:val="footer"/>
    <w:basedOn w:val="Normal"/>
    <w:link w:val="FooterChar"/>
    <w:uiPriority w:val="99"/>
    <w:unhideWhenUsed/>
    <w:rsid w:val="00AC1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D05"/>
  </w:style>
  <w:style w:type="paragraph" w:styleId="BalloonText">
    <w:name w:val="Balloon Text"/>
    <w:basedOn w:val="Normal"/>
    <w:link w:val="BalloonTextChar"/>
    <w:uiPriority w:val="99"/>
    <w:semiHidden/>
    <w:unhideWhenUsed/>
    <w:rsid w:val="00A22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915"/>
    <w:rPr>
      <w:rFonts w:ascii="Segoe UI" w:hAnsi="Segoe UI" w:cs="Segoe UI"/>
      <w:sz w:val="18"/>
      <w:szCs w:val="18"/>
    </w:rPr>
  </w:style>
  <w:style w:type="paragraph" w:styleId="NoSpacing">
    <w:name w:val="No Spacing"/>
    <w:uiPriority w:val="1"/>
    <w:qFormat/>
    <w:rsid w:val="00D178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4874">
      <w:bodyDiv w:val="1"/>
      <w:marLeft w:val="0"/>
      <w:marRight w:val="0"/>
      <w:marTop w:val="0"/>
      <w:marBottom w:val="0"/>
      <w:divBdr>
        <w:top w:val="none" w:sz="0" w:space="0" w:color="auto"/>
        <w:left w:val="none" w:sz="0" w:space="0" w:color="auto"/>
        <w:bottom w:val="none" w:sz="0" w:space="0" w:color="auto"/>
        <w:right w:val="none" w:sz="0" w:space="0" w:color="auto"/>
      </w:divBdr>
    </w:div>
    <w:div w:id="1326784344">
      <w:bodyDiv w:val="1"/>
      <w:marLeft w:val="0"/>
      <w:marRight w:val="0"/>
      <w:marTop w:val="0"/>
      <w:marBottom w:val="0"/>
      <w:divBdr>
        <w:top w:val="none" w:sz="0" w:space="0" w:color="auto"/>
        <w:left w:val="none" w:sz="0" w:space="0" w:color="auto"/>
        <w:bottom w:val="none" w:sz="0" w:space="0" w:color="auto"/>
        <w:right w:val="none" w:sz="0" w:space="0" w:color="auto"/>
      </w:divBdr>
    </w:div>
    <w:div w:id="1430273089">
      <w:bodyDiv w:val="1"/>
      <w:marLeft w:val="0"/>
      <w:marRight w:val="0"/>
      <w:marTop w:val="0"/>
      <w:marBottom w:val="0"/>
      <w:divBdr>
        <w:top w:val="none" w:sz="0" w:space="0" w:color="auto"/>
        <w:left w:val="none" w:sz="0" w:space="0" w:color="auto"/>
        <w:bottom w:val="none" w:sz="0" w:space="0" w:color="auto"/>
        <w:right w:val="none" w:sz="0" w:space="0" w:color="auto"/>
      </w:divBdr>
      <w:divsChild>
        <w:div w:id="1218274663">
          <w:marLeft w:val="0"/>
          <w:marRight w:val="0"/>
          <w:marTop w:val="0"/>
          <w:marBottom w:val="0"/>
          <w:divBdr>
            <w:top w:val="none" w:sz="0" w:space="0" w:color="auto"/>
            <w:left w:val="none" w:sz="0" w:space="0" w:color="auto"/>
            <w:bottom w:val="none" w:sz="0" w:space="0" w:color="auto"/>
            <w:right w:val="none" w:sz="0" w:space="0" w:color="auto"/>
          </w:divBdr>
          <w:divsChild>
            <w:div w:id="586227949">
              <w:marLeft w:val="0"/>
              <w:marRight w:val="0"/>
              <w:marTop w:val="0"/>
              <w:marBottom w:val="0"/>
              <w:divBdr>
                <w:top w:val="none" w:sz="0" w:space="0" w:color="auto"/>
                <w:left w:val="none" w:sz="0" w:space="0" w:color="auto"/>
                <w:bottom w:val="none" w:sz="0" w:space="0" w:color="auto"/>
                <w:right w:val="none" w:sz="0" w:space="0" w:color="auto"/>
              </w:divBdr>
              <w:divsChild>
                <w:div w:id="882714871">
                  <w:marLeft w:val="0"/>
                  <w:marRight w:val="0"/>
                  <w:marTop w:val="0"/>
                  <w:marBottom w:val="0"/>
                  <w:divBdr>
                    <w:top w:val="none" w:sz="0" w:space="0" w:color="auto"/>
                    <w:left w:val="none" w:sz="0" w:space="0" w:color="auto"/>
                    <w:bottom w:val="none" w:sz="0" w:space="0" w:color="auto"/>
                    <w:right w:val="none" w:sz="0" w:space="0" w:color="auto"/>
                  </w:divBdr>
                  <w:divsChild>
                    <w:div w:id="139033230">
                      <w:marLeft w:val="0"/>
                      <w:marRight w:val="0"/>
                      <w:marTop w:val="0"/>
                      <w:marBottom w:val="0"/>
                      <w:divBdr>
                        <w:top w:val="none" w:sz="0" w:space="0" w:color="auto"/>
                        <w:left w:val="none" w:sz="0" w:space="0" w:color="auto"/>
                        <w:bottom w:val="none" w:sz="0" w:space="0" w:color="auto"/>
                        <w:right w:val="none" w:sz="0" w:space="0" w:color="auto"/>
                      </w:divBdr>
                      <w:divsChild>
                        <w:div w:id="9951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benefits/reward/aboveandbeyond/managersguidance" TargetMode="External"/><Relationship Id="rId3" Type="http://schemas.openxmlformats.org/officeDocument/2006/relationships/settings" Target="settings.xml"/><Relationship Id="rId7" Type="http://schemas.openxmlformats.org/officeDocument/2006/relationships/hyperlink" Target="https://www.exeter.ac.uk/staff/benefits/reward/aboveandbeyo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Alison</dc:creator>
  <cp:keywords/>
  <dc:description/>
  <cp:lastModifiedBy>Hilton, Emma</cp:lastModifiedBy>
  <cp:revision>2</cp:revision>
  <cp:lastPrinted>2020-02-20T12:36:00Z</cp:lastPrinted>
  <dcterms:created xsi:type="dcterms:W3CDTF">2021-10-11T15:40:00Z</dcterms:created>
  <dcterms:modified xsi:type="dcterms:W3CDTF">2021-10-11T15:40:00Z</dcterms:modified>
</cp:coreProperties>
</file>