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597" w:rsidRDefault="007E3597" w:rsidP="00F22F10">
      <w:pPr>
        <w:pStyle w:val="Heading1"/>
        <w:jc w:val="center"/>
      </w:pPr>
      <w:r w:rsidRPr="00DE77D3">
        <w:t>HR Excellence in Research Award</w:t>
      </w:r>
      <w:r>
        <w:t xml:space="preserve"> Self Assessment Report</w:t>
      </w:r>
    </w:p>
    <w:p w:rsidR="007E3597" w:rsidRDefault="007E3597" w:rsidP="007E3597"/>
    <w:p w:rsidR="007E3597" w:rsidRDefault="007E3597" w:rsidP="008E64C6">
      <w:pPr>
        <w:jc w:val="both"/>
      </w:pPr>
      <w:r>
        <w:t xml:space="preserve">This report describes what has been achieved </w:t>
      </w:r>
      <w:r w:rsidR="008E64C6">
        <w:t xml:space="preserve">in relation </w:t>
      </w:r>
      <w:r w:rsidR="00244738">
        <w:t>to</w:t>
      </w:r>
      <w:r>
        <w:t xml:space="preserve"> the University’s 2009 Concordat Implementation Plan and sets out the new priorities </w:t>
      </w:r>
      <w:r w:rsidR="008E64C6">
        <w:t xml:space="preserve">and strategy </w:t>
      </w:r>
      <w:r>
        <w:t xml:space="preserve">for the </w:t>
      </w:r>
      <w:r w:rsidR="00244738">
        <w:t>coming</w:t>
      </w:r>
      <w:r>
        <w:t xml:space="preserve"> years.</w:t>
      </w:r>
    </w:p>
    <w:p w:rsidR="008E64C6" w:rsidRPr="00282AF0" w:rsidRDefault="008E64C6" w:rsidP="008E64C6">
      <w:pPr>
        <w:pStyle w:val="Heading1"/>
      </w:pPr>
      <w:r w:rsidRPr="00282AF0">
        <w:t>Background</w:t>
      </w:r>
    </w:p>
    <w:p w:rsidR="008E64C6" w:rsidRDefault="008E64C6" w:rsidP="007E3597"/>
    <w:p w:rsidR="00030CFE" w:rsidRPr="00030CFE" w:rsidRDefault="00FB175F" w:rsidP="00030CFE">
      <w:pPr>
        <w:jc w:val="both"/>
        <w:rPr>
          <w:iCs/>
        </w:rPr>
      </w:pPr>
      <w:r w:rsidRPr="00030CFE">
        <w:t xml:space="preserve">Following the </w:t>
      </w:r>
      <w:r w:rsidR="00ED7455" w:rsidRPr="00030CFE">
        <w:t>ending</w:t>
      </w:r>
      <w:r w:rsidR="007E3597" w:rsidRPr="00030CFE">
        <w:t xml:space="preserve"> of Roberts </w:t>
      </w:r>
      <w:r w:rsidR="00E35436" w:rsidRPr="00030CFE">
        <w:t>f</w:t>
      </w:r>
      <w:r w:rsidR="007E3597" w:rsidRPr="00030CFE">
        <w:t xml:space="preserve">unding </w:t>
      </w:r>
      <w:r w:rsidR="00244738" w:rsidRPr="00030CFE">
        <w:t>from RCUK</w:t>
      </w:r>
      <w:r w:rsidR="00030CFE" w:rsidRPr="00030CFE">
        <w:t>, the</w:t>
      </w:r>
      <w:r w:rsidR="00244738" w:rsidRPr="00030CFE">
        <w:t xml:space="preserve"> </w:t>
      </w:r>
      <w:r w:rsidRPr="00030CFE">
        <w:t xml:space="preserve">University set up the </w:t>
      </w:r>
      <w:r w:rsidR="00244738" w:rsidRPr="00030CFE">
        <w:t xml:space="preserve">Researcher Development Team </w:t>
      </w:r>
      <w:r w:rsidR="00E35436" w:rsidRPr="00030CFE">
        <w:t>(RDT)</w:t>
      </w:r>
      <w:r w:rsidR="008F2510" w:rsidRPr="00030CFE">
        <w:t xml:space="preserve"> </w:t>
      </w:r>
      <w:r w:rsidR="007D6EA6" w:rsidRPr="00030CFE">
        <w:t xml:space="preserve">to take responsibility for the career development of </w:t>
      </w:r>
      <w:r w:rsidR="00244738" w:rsidRPr="00030CFE">
        <w:t xml:space="preserve">both Post Graduate Researchers (PGRs) and </w:t>
      </w:r>
      <w:r w:rsidR="007D6EA6" w:rsidRPr="00030CFE">
        <w:t xml:space="preserve">Early Career Researchers (ECRs). During 2010/11 and 2011/12 </w:t>
      </w:r>
      <w:r w:rsidR="00030CFE" w:rsidRPr="00030CFE">
        <w:t>i</w:t>
      </w:r>
      <w:r w:rsidR="00030CFE" w:rsidRPr="00030CFE">
        <w:rPr>
          <w:iCs/>
        </w:rPr>
        <w:t>nternal evaluation was undertaken by the Head of Researcher Development and other team members through a series of meetings with key internal stakeholders (e.g., Dean of the Graduate Research Faculty, Associate Deans of Research in each College, Directors of Postgraduate Research Students in the Colleges, members of the Research &amp; Knowledge Transfer Management Group, members of the Resea</w:t>
      </w:r>
      <w:r w:rsidR="00030CFE">
        <w:rPr>
          <w:iCs/>
        </w:rPr>
        <w:t xml:space="preserve">rcher Development Users Groups </w:t>
      </w:r>
      <w:r w:rsidR="00030CFE" w:rsidRPr="00030CFE">
        <w:rPr>
          <w:iCs/>
        </w:rPr>
        <w:t xml:space="preserve">i.e. ECRs and PGRs) and through evaluating the feedback received from those who had attended </w:t>
      </w:r>
      <w:r w:rsidR="00030CFE">
        <w:rPr>
          <w:iCs/>
        </w:rPr>
        <w:t xml:space="preserve">training </w:t>
      </w:r>
      <w:r w:rsidR="00030CFE" w:rsidRPr="00030CFE">
        <w:rPr>
          <w:iCs/>
        </w:rPr>
        <w:t>sessions. The information informed the new Researcher Development plan and this was presented to and supported by the Researcher Development Steering Group and the Research and Knowledge Transfer Management Group.</w:t>
      </w:r>
    </w:p>
    <w:p w:rsidR="00990892" w:rsidRDefault="00990892" w:rsidP="008E64C6">
      <w:pPr>
        <w:jc w:val="both"/>
      </w:pPr>
    </w:p>
    <w:p w:rsidR="00990892" w:rsidRDefault="00990892" w:rsidP="008E64C6">
      <w:pPr>
        <w:jc w:val="both"/>
      </w:pPr>
      <w:r>
        <w:t>In relation to recruitment, appraisal, reward, recognition and promotion</w:t>
      </w:r>
      <w:r w:rsidR="00244738">
        <w:t>,</w:t>
      </w:r>
      <w:r>
        <w:t xml:space="preserve"> ECRs are managed under the same HR policies as all other academic staff. </w:t>
      </w:r>
      <w:r w:rsidR="00244738">
        <w:t>H</w:t>
      </w:r>
      <w:r w:rsidR="00F64BA7">
        <w:t xml:space="preserve">owever the University </w:t>
      </w:r>
      <w:r w:rsidR="00291F20">
        <w:t xml:space="preserve">is </w:t>
      </w:r>
      <w:r w:rsidR="00FB175F">
        <w:t xml:space="preserve">conscious </w:t>
      </w:r>
      <w:r w:rsidR="00F64BA7">
        <w:t>of the particular training and career development needs</w:t>
      </w:r>
      <w:r w:rsidR="00FB175F">
        <w:t xml:space="preserve"> of this group of staff and has undertaken a </w:t>
      </w:r>
      <w:r w:rsidR="008F2F5E">
        <w:t xml:space="preserve">strategic review </w:t>
      </w:r>
      <w:r w:rsidR="00244738">
        <w:t xml:space="preserve">of </w:t>
      </w:r>
      <w:r w:rsidR="008F2F5E">
        <w:t xml:space="preserve">ECR and </w:t>
      </w:r>
      <w:r w:rsidR="00244738">
        <w:t>PGRs</w:t>
      </w:r>
      <w:r w:rsidR="008F2F5E">
        <w:t xml:space="preserve"> development </w:t>
      </w:r>
      <w:r w:rsidR="00244738">
        <w:t>needs</w:t>
      </w:r>
      <w:r w:rsidR="001F72C9" w:rsidRPr="001F72C9">
        <w:rPr>
          <w:i/>
        </w:rPr>
        <w:t xml:space="preserve"> </w:t>
      </w:r>
      <w:r w:rsidR="001F72C9">
        <w:rPr>
          <w:i/>
        </w:rPr>
        <w:t>(</w:t>
      </w:r>
      <w:r w:rsidR="001F72C9" w:rsidRPr="008F2510">
        <w:rPr>
          <w:i/>
        </w:rPr>
        <w:t>Researcher Development Position Document and Plan</w:t>
      </w:r>
      <w:r w:rsidR="001D67F4">
        <w:rPr>
          <w:i/>
        </w:rPr>
        <w:t xml:space="preserve"> 2012-2015</w:t>
      </w:r>
      <w:r w:rsidR="001F72C9">
        <w:rPr>
          <w:i/>
        </w:rPr>
        <w:t>)</w:t>
      </w:r>
      <w:r w:rsidR="008F2F5E">
        <w:t>.</w:t>
      </w:r>
      <w:r w:rsidR="001D67F4">
        <w:t xml:space="preserve"> </w:t>
      </w:r>
      <w:r w:rsidR="00310037">
        <w:t>A</w:t>
      </w:r>
      <w:r w:rsidR="007836DD">
        <w:t xml:space="preserve"> s</w:t>
      </w:r>
      <w:r w:rsidR="001D67F4">
        <w:t xml:space="preserve">teering group </w:t>
      </w:r>
      <w:r w:rsidR="007836DD">
        <w:t xml:space="preserve">which includes representation from academic staff, ECRs, PGRs and professional services </w:t>
      </w:r>
      <w:r w:rsidR="00310037">
        <w:t>has been set up to implement the plan</w:t>
      </w:r>
      <w:r w:rsidR="007836DD">
        <w:t>.</w:t>
      </w:r>
    </w:p>
    <w:p w:rsidR="007E3597" w:rsidRDefault="00990892" w:rsidP="00836A1D">
      <w:pPr>
        <w:pStyle w:val="Heading1"/>
      </w:pPr>
      <w:r>
        <w:t>Key Achievements</w:t>
      </w:r>
      <w:r w:rsidR="00160701">
        <w:t xml:space="preserve"> 2010 - 2012</w:t>
      </w:r>
    </w:p>
    <w:p w:rsidR="007E3597" w:rsidRDefault="007E3597" w:rsidP="00230F70"/>
    <w:p w:rsidR="00291F20" w:rsidRDefault="00291F20" w:rsidP="00230F70">
      <w:pPr>
        <w:rPr>
          <w:b/>
        </w:rPr>
      </w:pPr>
      <w:r w:rsidRPr="00230F70">
        <w:rPr>
          <w:b/>
        </w:rPr>
        <w:t>Post Roberts funding arrangements for Early Career Researcher Development</w:t>
      </w:r>
    </w:p>
    <w:p w:rsidR="005E77E8" w:rsidRPr="00230F70" w:rsidRDefault="005E77E8" w:rsidP="00230F70">
      <w:pPr>
        <w:rPr>
          <w:b/>
        </w:rPr>
      </w:pPr>
      <w:r w:rsidRPr="00030CFE">
        <w:rPr>
          <w:b/>
        </w:rPr>
        <w:t xml:space="preserve">(2009 plan </w:t>
      </w:r>
      <w:r w:rsidR="00394AC5" w:rsidRPr="00030CFE">
        <w:rPr>
          <w:b/>
        </w:rPr>
        <w:t>pt. 4</w:t>
      </w:r>
      <w:r w:rsidR="00673519" w:rsidRPr="00030CFE">
        <w:rPr>
          <w:b/>
        </w:rPr>
        <w:t xml:space="preserve"> and 8</w:t>
      </w:r>
      <w:r w:rsidR="00360AB4" w:rsidRPr="00030CFE">
        <w:rPr>
          <w:b/>
        </w:rPr>
        <w:t xml:space="preserve"> - complete</w:t>
      </w:r>
      <w:r w:rsidR="00673519" w:rsidRPr="00030CFE">
        <w:rPr>
          <w:b/>
        </w:rPr>
        <w:t>)</w:t>
      </w:r>
    </w:p>
    <w:p w:rsidR="00230F70" w:rsidRDefault="00230F70" w:rsidP="00230F70">
      <w:r>
        <w:t xml:space="preserve">The University has put in place policies to ensure that </w:t>
      </w:r>
      <w:r w:rsidRPr="00946553">
        <w:t xml:space="preserve">the delivery of training </w:t>
      </w:r>
      <w:r w:rsidR="00C9196A">
        <w:t xml:space="preserve">specifically </w:t>
      </w:r>
      <w:r>
        <w:t xml:space="preserve">for ECRs and PGRs is </w:t>
      </w:r>
      <w:r w:rsidR="00244738">
        <w:t xml:space="preserve">financially </w:t>
      </w:r>
      <w:r w:rsidR="000F7A39">
        <w:t>sustainable</w:t>
      </w:r>
      <w:r w:rsidR="00160701">
        <w:t xml:space="preserve"> in the long term</w:t>
      </w:r>
      <w:r w:rsidR="00310037">
        <w:t xml:space="preserve"> by ensuring that</w:t>
      </w:r>
      <w:r w:rsidR="007836DD" w:rsidRPr="007836DD">
        <w:t xml:space="preserve"> a proportion of PGR fees and many ECR grants contribute directly towards the costs of centrally co-ordinated professional development</w:t>
      </w:r>
      <w:r w:rsidR="00160701" w:rsidRPr="007836DD">
        <w:t xml:space="preserve">. </w:t>
      </w:r>
      <w:r w:rsidR="00160701">
        <w:t>I</w:t>
      </w:r>
      <w:r w:rsidRPr="00946553">
        <w:t>n addition</w:t>
      </w:r>
      <w:r w:rsidR="00C9196A" w:rsidRPr="00946553">
        <w:t xml:space="preserve">, </w:t>
      </w:r>
      <w:r w:rsidR="00C9196A">
        <w:t>PGR and ECR</w:t>
      </w:r>
      <w:r>
        <w:t xml:space="preserve"> </w:t>
      </w:r>
      <w:r w:rsidR="00C9196A">
        <w:t xml:space="preserve">career development </w:t>
      </w:r>
      <w:r>
        <w:t>agendas</w:t>
      </w:r>
      <w:r w:rsidRPr="00946553">
        <w:t xml:space="preserve"> </w:t>
      </w:r>
      <w:r w:rsidR="00C9196A">
        <w:t>are now more joined-</w:t>
      </w:r>
      <w:r w:rsidR="000F7A39">
        <w:t>up by</w:t>
      </w:r>
      <w:r w:rsidR="00C9196A">
        <w:t xml:space="preserve"> locating the respon</w:t>
      </w:r>
      <w:r w:rsidR="00F64BA5">
        <w:t>sibility for training provision</w:t>
      </w:r>
      <w:r w:rsidR="00C9196A">
        <w:t xml:space="preserve"> </w:t>
      </w:r>
      <w:r w:rsidR="00F64BA5">
        <w:t>in</w:t>
      </w:r>
      <w:r w:rsidR="00C9196A" w:rsidRPr="00946553">
        <w:t xml:space="preserve"> Employability and Graduate Development </w:t>
      </w:r>
      <w:r w:rsidR="00C9196A">
        <w:t>(</w:t>
      </w:r>
      <w:r w:rsidR="00C9196A" w:rsidRPr="00946553">
        <w:t>October 2010</w:t>
      </w:r>
      <w:r w:rsidR="00C9196A">
        <w:t xml:space="preserve">) </w:t>
      </w:r>
      <w:r w:rsidR="00C9196A" w:rsidRPr="00946553">
        <w:t>en</w:t>
      </w:r>
      <w:r w:rsidR="00F64BA5">
        <w:t>suring</w:t>
      </w:r>
      <w:r w:rsidR="00C9196A" w:rsidRPr="00946553">
        <w:t xml:space="preserve"> closer links with the world of work</w:t>
      </w:r>
      <w:r w:rsidR="00C9196A">
        <w:t xml:space="preserve"> and a </w:t>
      </w:r>
      <w:r w:rsidR="00C43E8D" w:rsidRPr="002A6DBD">
        <w:t xml:space="preserve">greater </w:t>
      </w:r>
      <w:r w:rsidR="00C9196A">
        <w:t>focus on employability</w:t>
      </w:r>
      <w:r w:rsidR="000E35F3">
        <w:t>.</w:t>
      </w:r>
    </w:p>
    <w:p w:rsidR="000E35F3" w:rsidRPr="00946553" w:rsidRDefault="00056125" w:rsidP="00230F70">
      <w:r w:rsidRPr="00030CFE">
        <w:t>In addition a</w:t>
      </w:r>
      <w:r w:rsidR="000E35F3" w:rsidRPr="00030CFE">
        <w:t xml:space="preserve"> </w:t>
      </w:r>
      <w:r w:rsidRPr="00030CFE">
        <w:t>new steering group called the Researcher Development (RD) Steering Group has been constituted to replace the Career Research</w:t>
      </w:r>
      <w:r w:rsidR="005E77E8" w:rsidRPr="00030CFE">
        <w:t xml:space="preserve"> Staff Strategy Group in response to</w:t>
      </w:r>
      <w:r w:rsidRPr="00030CFE">
        <w:t xml:space="preserve"> the restructuring of the </w:t>
      </w:r>
      <w:r w:rsidR="005E77E8" w:rsidRPr="00030CFE">
        <w:t>University</w:t>
      </w:r>
      <w:r w:rsidRPr="00030CFE">
        <w:t xml:space="preserve"> into larger academic </w:t>
      </w:r>
      <w:r w:rsidR="005E77E8" w:rsidRPr="00030CFE">
        <w:t>Colleges. This has</w:t>
      </w:r>
      <w:r w:rsidRPr="00030CFE">
        <w:t xml:space="preserve"> ensure</w:t>
      </w:r>
      <w:r w:rsidR="005E77E8" w:rsidRPr="00030CFE">
        <w:t>d</w:t>
      </w:r>
      <w:r w:rsidRPr="00030CFE">
        <w:t xml:space="preserve"> appropriate representation of stakeholders</w:t>
      </w:r>
      <w:r w:rsidR="00150E96" w:rsidRPr="00030CFE">
        <w:t xml:space="preserve"> and mechanisms for dissemination of information</w:t>
      </w:r>
    </w:p>
    <w:p w:rsidR="00291F20" w:rsidRDefault="00291F20" w:rsidP="00990892"/>
    <w:p w:rsidR="00990892" w:rsidRDefault="00990892" w:rsidP="00C9196A">
      <w:pPr>
        <w:rPr>
          <w:b/>
        </w:rPr>
      </w:pPr>
      <w:r w:rsidRPr="00C9196A">
        <w:rPr>
          <w:b/>
        </w:rPr>
        <w:t>Review of Fixed term Contracts for Early Career Researchers</w:t>
      </w:r>
    </w:p>
    <w:p w:rsidR="000E35F3" w:rsidRPr="00C9196A" w:rsidRDefault="000E35F3" w:rsidP="00C9196A">
      <w:pPr>
        <w:rPr>
          <w:b/>
        </w:rPr>
      </w:pPr>
      <w:r w:rsidRPr="00030CFE">
        <w:rPr>
          <w:b/>
        </w:rPr>
        <w:t>(2009 plan pt. 1</w:t>
      </w:r>
      <w:r w:rsidR="008D6C46" w:rsidRPr="00030CFE">
        <w:rPr>
          <w:b/>
        </w:rPr>
        <w:t xml:space="preserve"> - complete</w:t>
      </w:r>
      <w:r w:rsidRPr="00030CFE">
        <w:rPr>
          <w:b/>
        </w:rPr>
        <w:t>)</w:t>
      </w:r>
    </w:p>
    <w:p w:rsidR="00C9196A" w:rsidRDefault="00F64BA5" w:rsidP="00C9196A">
      <w:r>
        <w:t xml:space="preserve">The University </w:t>
      </w:r>
      <w:r w:rsidR="00C9196A">
        <w:t>made an agreement in 2009 with the Unions regarding it aims to achieve a significant reduction in its reliance on fixed term contracts; that open-ended contracts should be the normal employmen</w:t>
      </w:r>
      <w:r w:rsidR="00160701">
        <w:t>t arrangement at the University</w:t>
      </w:r>
      <w:r w:rsidR="00C9196A">
        <w:t xml:space="preserve"> and that fixed term contracts will only be used in specifically defined circumstances which are specified in the Agreement</w:t>
      </w:r>
    </w:p>
    <w:p w:rsidR="00C9196A" w:rsidRDefault="00C9196A" w:rsidP="00C9196A"/>
    <w:p w:rsidR="001A082C" w:rsidRDefault="00C9196A" w:rsidP="00C9196A">
      <w:r>
        <w:t xml:space="preserve">The University </w:t>
      </w:r>
      <w:r w:rsidR="00160701">
        <w:t xml:space="preserve">completed </w:t>
      </w:r>
      <w:r>
        <w:t xml:space="preserve">a review of all fixed term contracts against </w:t>
      </w:r>
      <w:r w:rsidR="000F7A39">
        <w:t>criteria agreed</w:t>
      </w:r>
      <w:r w:rsidR="00F64BA5">
        <w:t xml:space="preserve"> with the Unions </w:t>
      </w:r>
      <w:r w:rsidR="00160701">
        <w:t>in Spring 2011</w:t>
      </w:r>
      <w:r w:rsidR="001F72C9">
        <w:t xml:space="preserve"> and </w:t>
      </w:r>
      <w:r>
        <w:t>Human Resources meet with trade union representatives every 3 months to review fixed term contracts which are due to expire.</w:t>
      </w:r>
      <w:r w:rsidR="001A082C">
        <w:t xml:space="preserve"> </w:t>
      </w:r>
      <w:r>
        <w:t xml:space="preserve">The University now employs more staff now on fixed term contracts than it did in 2009 due to the growth in research funding, together with increases in time-limited project activity and student employability initiatives, </w:t>
      </w:r>
      <w:r w:rsidR="001A082C">
        <w:t xml:space="preserve">however </w:t>
      </w:r>
      <w:r>
        <w:t xml:space="preserve">the </w:t>
      </w:r>
      <w:r w:rsidRPr="001A082C">
        <w:rPr>
          <w:i/>
        </w:rPr>
        <w:t>percentage</w:t>
      </w:r>
      <w:r>
        <w:t xml:space="preserve"> of staff on fixed term contracts </w:t>
      </w:r>
      <w:r w:rsidR="001A082C">
        <w:t>has fallen.</w:t>
      </w:r>
    </w:p>
    <w:p w:rsidR="00C9196A" w:rsidRDefault="00C9196A" w:rsidP="00C9196A">
      <w:r>
        <w:t>July 2009 - 914 fixed term contracts out of 3026 staff (30%)</w:t>
      </w:r>
    </w:p>
    <w:p w:rsidR="00C9196A" w:rsidRDefault="00C9196A" w:rsidP="00C9196A">
      <w:r>
        <w:t>July 2012 - 992 fixed term contracts out of 3745 staff (26%)</w:t>
      </w:r>
    </w:p>
    <w:p w:rsidR="00673519" w:rsidRDefault="00673519" w:rsidP="0063189D">
      <w:pPr>
        <w:rPr>
          <w:b/>
        </w:rPr>
      </w:pPr>
    </w:p>
    <w:p w:rsidR="001F72C9" w:rsidRDefault="0063189D" w:rsidP="0063189D">
      <w:pPr>
        <w:rPr>
          <w:b/>
        </w:rPr>
      </w:pPr>
      <w:r w:rsidRPr="0063189D">
        <w:rPr>
          <w:b/>
        </w:rPr>
        <w:t>Performance and Development Review</w:t>
      </w:r>
      <w:r w:rsidR="001F72C9">
        <w:rPr>
          <w:b/>
        </w:rPr>
        <w:t xml:space="preserve"> </w:t>
      </w:r>
    </w:p>
    <w:p w:rsidR="00673519" w:rsidRDefault="00673519" w:rsidP="0063189D">
      <w:pPr>
        <w:rPr>
          <w:b/>
        </w:rPr>
      </w:pPr>
      <w:r w:rsidRPr="00030CFE">
        <w:rPr>
          <w:b/>
        </w:rPr>
        <w:t>(2009 pt. 5 and 7</w:t>
      </w:r>
      <w:r w:rsidR="008D6C46" w:rsidRPr="00030CFE">
        <w:rPr>
          <w:b/>
        </w:rPr>
        <w:t xml:space="preserve"> – in progress</w:t>
      </w:r>
      <w:r w:rsidRPr="00030CFE">
        <w:rPr>
          <w:b/>
        </w:rPr>
        <w:t>)</w:t>
      </w:r>
    </w:p>
    <w:p w:rsidR="0063189D" w:rsidRPr="001F72C9" w:rsidRDefault="0063189D" w:rsidP="00C9196A">
      <w:pPr>
        <w:rPr>
          <w:b/>
        </w:rPr>
      </w:pPr>
      <w:r w:rsidRPr="006F6088">
        <w:t xml:space="preserve">Staff survey data indicates that PDRs are undertaken annually by the vast majority of staff (94% in 2009 and 86% in 2012), however around about half of staff do not find the process useful. </w:t>
      </w:r>
      <w:r>
        <w:t xml:space="preserve">It is also been found that </w:t>
      </w:r>
      <w:r w:rsidR="001F72C9">
        <w:t xml:space="preserve">some </w:t>
      </w:r>
      <w:r>
        <w:t>ECRs employed on less than a 12 month cont</w:t>
      </w:r>
      <w:r w:rsidR="001F72C9">
        <w:t>r</w:t>
      </w:r>
      <w:r>
        <w:t>act</w:t>
      </w:r>
      <w:r w:rsidR="00382BD7">
        <w:t xml:space="preserve"> </w:t>
      </w:r>
      <w:r w:rsidR="001F72C9">
        <w:t xml:space="preserve">have </w:t>
      </w:r>
      <w:r w:rsidR="00382BD7">
        <w:t>elect</w:t>
      </w:r>
      <w:r w:rsidR="001F72C9">
        <w:t>ed</w:t>
      </w:r>
      <w:r w:rsidR="00382BD7">
        <w:t xml:space="preserve"> not to have a PDR or may have left the instituti</w:t>
      </w:r>
      <w:r w:rsidR="001F72C9">
        <w:t>on before the PDR process started</w:t>
      </w:r>
      <w:r w:rsidR="00382BD7">
        <w:t>.</w:t>
      </w:r>
      <w:r w:rsidR="001F72C9">
        <w:rPr>
          <w:b/>
        </w:rPr>
        <w:t xml:space="preserve"> </w:t>
      </w:r>
      <w:r w:rsidR="00382BD7">
        <w:t>A review of academic PDRs will be completed by January 2013 and it is anticipated that this will lead to changes in the way appraisals are conducted for ECRs.</w:t>
      </w:r>
    </w:p>
    <w:p w:rsidR="00382BD7" w:rsidRDefault="00382BD7" w:rsidP="00382BD7"/>
    <w:p w:rsidR="005F3608" w:rsidRDefault="005F3608" w:rsidP="00382BD7">
      <w:pPr>
        <w:rPr>
          <w:b/>
        </w:rPr>
      </w:pPr>
      <w:r w:rsidRPr="00382BD7">
        <w:rPr>
          <w:b/>
        </w:rPr>
        <w:t xml:space="preserve">Summary of </w:t>
      </w:r>
      <w:r w:rsidR="008E64C6">
        <w:rPr>
          <w:b/>
        </w:rPr>
        <w:t>Support and C</w:t>
      </w:r>
      <w:r w:rsidR="00382BD7" w:rsidRPr="00382BD7">
        <w:rPr>
          <w:b/>
        </w:rPr>
        <w:t xml:space="preserve">areer Development </w:t>
      </w:r>
      <w:r w:rsidRPr="00382BD7">
        <w:rPr>
          <w:b/>
        </w:rPr>
        <w:t>Activity 2010/11 and 2011/12</w:t>
      </w:r>
    </w:p>
    <w:p w:rsidR="00673519" w:rsidRPr="00382BD7" w:rsidRDefault="00673519" w:rsidP="00382BD7">
      <w:pPr>
        <w:rPr>
          <w:b/>
        </w:rPr>
      </w:pPr>
      <w:r w:rsidRPr="00030CFE">
        <w:rPr>
          <w:b/>
        </w:rPr>
        <w:t>(2009 plan pt 2 and 3</w:t>
      </w:r>
      <w:r w:rsidR="008D6C46" w:rsidRPr="00030CFE">
        <w:rPr>
          <w:b/>
        </w:rPr>
        <w:t xml:space="preserve"> – continual </w:t>
      </w:r>
      <w:r w:rsidR="00360AB4" w:rsidRPr="00030CFE">
        <w:rPr>
          <w:b/>
        </w:rPr>
        <w:t xml:space="preserve">and </w:t>
      </w:r>
      <w:r w:rsidR="008D6C46" w:rsidRPr="00030CFE">
        <w:rPr>
          <w:b/>
        </w:rPr>
        <w:t>superseded by new RDT plan</w:t>
      </w:r>
      <w:r w:rsidRPr="00030CFE">
        <w:rPr>
          <w:b/>
        </w:rPr>
        <w:t>)</w:t>
      </w:r>
    </w:p>
    <w:p w:rsidR="00F64BA5" w:rsidRDefault="00282AF0" w:rsidP="00282AF0">
      <w:r>
        <w:t>The University’s R</w:t>
      </w:r>
      <w:r w:rsidR="00F64BA5">
        <w:t>esearcher Development Programme</w:t>
      </w:r>
      <w:r>
        <w:t xml:space="preserve"> (</w:t>
      </w:r>
      <w:r w:rsidR="00F64BA5">
        <w:t xml:space="preserve">RDP) is </w:t>
      </w:r>
      <w:r w:rsidR="00334EC7">
        <w:t xml:space="preserve">a suite of programmes originally designed for </w:t>
      </w:r>
      <w:r w:rsidR="00F64BA5">
        <w:t>PGRs;</w:t>
      </w:r>
      <w:r w:rsidR="00334EC7">
        <w:t xml:space="preserve"> </w:t>
      </w:r>
      <w:r w:rsidR="00F64BA5">
        <w:t xml:space="preserve">it </w:t>
      </w:r>
      <w:r w:rsidR="00334EC7">
        <w:t>was opened up to and extended in 2010 to include a number of courses specifically aimed at ECRs</w:t>
      </w:r>
      <w:r w:rsidR="00CA2195">
        <w:t xml:space="preserve">. </w:t>
      </w:r>
      <w:r w:rsidR="00432143">
        <w:t xml:space="preserve">RDP is also supported by a series of online </w:t>
      </w:r>
      <w:r w:rsidR="00C43E8D">
        <w:t xml:space="preserve">interactive training </w:t>
      </w:r>
      <w:r w:rsidR="002A6DBD">
        <w:t>modules called Researcher Development On-Line (RDO</w:t>
      </w:r>
      <w:r w:rsidR="00432143">
        <w:t>)</w:t>
      </w:r>
      <w:r w:rsidR="00C43E8D">
        <w:t>.</w:t>
      </w:r>
    </w:p>
    <w:p w:rsidR="00CA2195" w:rsidRDefault="00CA2195" w:rsidP="00282AF0"/>
    <w:p w:rsidR="00CA2195" w:rsidRDefault="00CA2195" w:rsidP="003F4FA6">
      <w:r>
        <w:t>Development Centres</w:t>
      </w:r>
      <w:r w:rsidR="003F4FA6">
        <w:t xml:space="preserve"> (DCs)</w:t>
      </w:r>
      <w:r>
        <w:t xml:space="preserve"> for ECRs have been use</w:t>
      </w:r>
      <w:r w:rsidR="002A6DBD">
        <w:t>d extensively for the last four</w:t>
      </w:r>
      <w:r>
        <w:t xml:space="preserve"> years</w:t>
      </w:r>
      <w:r w:rsidR="003F4FA6">
        <w:t xml:space="preserve"> a</w:t>
      </w:r>
      <w:r w:rsidR="00DC7AF3">
        <w:t xml:space="preserve">nd has involved 82 </w:t>
      </w:r>
      <w:r w:rsidR="003F4FA6">
        <w:t>ECRs demonstrating</w:t>
      </w:r>
      <w:r w:rsidR="003F4FA6" w:rsidRPr="007771E6">
        <w:t xml:space="preserve"> their abilities against a set of six competencies valued</w:t>
      </w:r>
      <w:r w:rsidR="00683084">
        <w:t xml:space="preserve"> in both academia and industry:</w:t>
      </w:r>
      <w:r w:rsidR="003F4FA6" w:rsidRPr="007771E6">
        <w:t xml:space="preserve"> Working with People, Persuading &amp; influencing, Planning &amp; </w:t>
      </w:r>
      <w:r w:rsidR="00683084" w:rsidRPr="007771E6">
        <w:t>Organising,</w:t>
      </w:r>
      <w:r w:rsidR="003F4FA6" w:rsidRPr="007771E6">
        <w:t xml:space="preserve"> Presenting &amp; Communicating, Adapting &amp; Responding to Change, Deciding &amp; Initiating Action. An individual report </w:t>
      </w:r>
      <w:r w:rsidR="003F4FA6">
        <w:t xml:space="preserve">is produced which </w:t>
      </w:r>
      <w:r w:rsidR="003F4FA6" w:rsidRPr="007771E6">
        <w:t xml:space="preserve">identifies strengths and areas for development. Participants </w:t>
      </w:r>
      <w:r w:rsidR="003F4FA6">
        <w:t xml:space="preserve">then </w:t>
      </w:r>
      <w:r w:rsidR="003F4FA6" w:rsidRPr="007771E6">
        <w:t xml:space="preserve">receive </w:t>
      </w:r>
      <w:r w:rsidR="003F4FA6">
        <w:t>detailed 1:1 feedback. On account of cost and investment in staff time to deliver DCs it is difficult to expand the availability of this provision and has been replaced by a one day career coaching event.</w:t>
      </w:r>
    </w:p>
    <w:p w:rsidR="000F7A39" w:rsidRDefault="000F7A39" w:rsidP="003F4FA6"/>
    <w:p w:rsidR="000F7A39" w:rsidRDefault="008E64C6" w:rsidP="003F4FA6">
      <w:r>
        <w:t xml:space="preserve">Since 2006/07, </w:t>
      </w:r>
      <w:r w:rsidR="00DC7AF3">
        <w:t>36</w:t>
      </w:r>
      <w:r w:rsidR="002A6DBD">
        <w:t xml:space="preserve"> individual</w:t>
      </w:r>
      <w:r w:rsidR="00DC7AF3">
        <w:t xml:space="preserve"> </w:t>
      </w:r>
      <w:r w:rsidR="000F7A39">
        <w:t xml:space="preserve">ECRs have also undertaken the University’s Higher Education Academy accredited programme called </w:t>
      </w:r>
      <w:r w:rsidR="000F7A39" w:rsidRPr="008E64C6">
        <w:rPr>
          <w:i/>
        </w:rPr>
        <w:t>Lea</w:t>
      </w:r>
      <w:r w:rsidR="00703B81" w:rsidRPr="008E64C6">
        <w:rPr>
          <w:i/>
        </w:rPr>
        <w:t>rning and Teaching in HE (LTHE)</w:t>
      </w:r>
      <w:r w:rsidR="00703B81">
        <w:t xml:space="preserve"> </w:t>
      </w:r>
    </w:p>
    <w:p w:rsidR="00F64BA5" w:rsidRDefault="00F64BA5" w:rsidP="00282AF0"/>
    <w:p w:rsidR="003F4FA6" w:rsidRPr="002A6DBD" w:rsidRDefault="00432143" w:rsidP="00282AF0">
      <w:r w:rsidRPr="002A6DBD">
        <w:rPr>
          <w:b/>
        </w:rPr>
        <w:t xml:space="preserve">Total engagements </w:t>
      </w:r>
      <w:r w:rsidR="000F7A39" w:rsidRPr="002A6DBD">
        <w:rPr>
          <w:b/>
        </w:rPr>
        <w:t>by ECR</w:t>
      </w:r>
      <w:r w:rsidRPr="002A6DBD">
        <w:rPr>
          <w:b/>
        </w:rPr>
        <w:t>s</w:t>
      </w:r>
      <w:r w:rsidR="00C43E8D" w:rsidRPr="002A6DBD">
        <w:t xml:space="preserve"> (including multiple engagements by some individuals)</w:t>
      </w:r>
    </w:p>
    <w:p w:rsidR="003F4FA6" w:rsidRPr="002A6DBD" w:rsidRDefault="003F4FA6" w:rsidP="00282AF0"/>
    <w:tbl>
      <w:tblPr>
        <w:tblStyle w:val="TableGrid"/>
        <w:tblW w:w="0" w:type="auto"/>
        <w:tblLook w:val="04A0"/>
      </w:tblPr>
      <w:tblGrid>
        <w:gridCol w:w="2802"/>
        <w:gridCol w:w="2146"/>
        <w:gridCol w:w="2147"/>
        <w:gridCol w:w="2147"/>
      </w:tblGrid>
      <w:tr w:rsidR="003F4FA6" w:rsidRPr="002A6DBD" w:rsidTr="000F7A39">
        <w:tc>
          <w:tcPr>
            <w:tcW w:w="2802" w:type="dxa"/>
          </w:tcPr>
          <w:p w:rsidR="003F4FA6" w:rsidRPr="002A6DBD" w:rsidRDefault="003F4FA6" w:rsidP="00282AF0"/>
        </w:tc>
        <w:tc>
          <w:tcPr>
            <w:tcW w:w="2146" w:type="dxa"/>
          </w:tcPr>
          <w:p w:rsidR="003F4FA6" w:rsidRPr="002A6DBD" w:rsidRDefault="003F4FA6" w:rsidP="008F2510">
            <w:pPr>
              <w:tabs>
                <w:tab w:val="left" w:pos="1230"/>
              </w:tabs>
              <w:jc w:val="center"/>
            </w:pPr>
            <w:r w:rsidRPr="002A6DBD">
              <w:t>2009/10</w:t>
            </w:r>
            <w:r w:rsidR="00340F5D" w:rsidRPr="002A6DBD">
              <w:t xml:space="preserve"> No.</w:t>
            </w:r>
          </w:p>
        </w:tc>
        <w:tc>
          <w:tcPr>
            <w:tcW w:w="2147" w:type="dxa"/>
          </w:tcPr>
          <w:p w:rsidR="003F4FA6" w:rsidRPr="002A6DBD" w:rsidRDefault="003F4FA6" w:rsidP="008F2510">
            <w:pPr>
              <w:jc w:val="center"/>
            </w:pPr>
            <w:r w:rsidRPr="002A6DBD">
              <w:t>2010/11</w:t>
            </w:r>
            <w:r w:rsidR="00340F5D" w:rsidRPr="002A6DBD">
              <w:t xml:space="preserve"> No.</w:t>
            </w:r>
          </w:p>
        </w:tc>
        <w:tc>
          <w:tcPr>
            <w:tcW w:w="2147" w:type="dxa"/>
          </w:tcPr>
          <w:p w:rsidR="003F4FA6" w:rsidRPr="002A6DBD" w:rsidRDefault="003F4FA6" w:rsidP="008F2510">
            <w:pPr>
              <w:jc w:val="center"/>
            </w:pPr>
            <w:r w:rsidRPr="002A6DBD">
              <w:t>2011/12</w:t>
            </w:r>
            <w:r w:rsidR="00340F5D" w:rsidRPr="002A6DBD">
              <w:t xml:space="preserve"> No.</w:t>
            </w:r>
          </w:p>
        </w:tc>
      </w:tr>
      <w:tr w:rsidR="003F4FA6" w:rsidRPr="002A6DBD" w:rsidTr="000F7A39">
        <w:tc>
          <w:tcPr>
            <w:tcW w:w="2802" w:type="dxa"/>
          </w:tcPr>
          <w:p w:rsidR="003F4FA6" w:rsidRPr="002A6DBD" w:rsidRDefault="003F4FA6" w:rsidP="00282AF0">
            <w:r w:rsidRPr="002A6DBD">
              <w:t>Development Centres</w:t>
            </w:r>
          </w:p>
        </w:tc>
        <w:tc>
          <w:tcPr>
            <w:tcW w:w="2146" w:type="dxa"/>
          </w:tcPr>
          <w:p w:rsidR="003F4FA6" w:rsidRPr="002A6DBD" w:rsidRDefault="00DC7AF3" w:rsidP="008F2510">
            <w:pPr>
              <w:jc w:val="center"/>
            </w:pPr>
            <w:r w:rsidRPr="002A6DBD">
              <w:t>34</w:t>
            </w:r>
          </w:p>
        </w:tc>
        <w:tc>
          <w:tcPr>
            <w:tcW w:w="2147" w:type="dxa"/>
          </w:tcPr>
          <w:p w:rsidR="003F4FA6" w:rsidRPr="002A6DBD" w:rsidRDefault="00DC7AF3" w:rsidP="008F2510">
            <w:pPr>
              <w:jc w:val="center"/>
            </w:pPr>
            <w:r w:rsidRPr="002A6DBD">
              <w:t>17</w:t>
            </w:r>
          </w:p>
        </w:tc>
        <w:tc>
          <w:tcPr>
            <w:tcW w:w="2147" w:type="dxa"/>
          </w:tcPr>
          <w:p w:rsidR="003F4FA6" w:rsidRPr="002A6DBD" w:rsidRDefault="00DC7AF3" w:rsidP="008F2510">
            <w:pPr>
              <w:jc w:val="center"/>
            </w:pPr>
            <w:r w:rsidRPr="002A6DBD">
              <w:t>0</w:t>
            </w:r>
          </w:p>
        </w:tc>
      </w:tr>
      <w:tr w:rsidR="003F4FA6" w:rsidRPr="002A6DBD" w:rsidTr="000F7A39">
        <w:tc>
          <w:tcPr>
            <w:tcW w:w="2802" w:type="dxa"/>
          </w:tcPr>
          <w:p w:rsidR="003F4FA6" w:rsidRPr="002A6DBD" w:rsidRDefault="003F4FA6" w:rsidP="00282AF0">
            <w:r w:rsidRPr="002A6DBD">
              <w:t>RDP</w:t>
            </w:r>
          </w:p>
        </w:tc>
        <w:tc>
          <w:tcPr>
            <w:tcW w:w="2146" w:type="dxa"/>
          </w:tcPr>
          <w:p w:rsidR="003F4FA6" w:rsidRPr="002A6DBD" w:rsidRDefault="00DC7AF3" w:rsidP="008F2510">
            <w:pPr>
              <w:jc w:val="center"/>
            </w:pPr>
            <w:r w:rsidRPr="002A6DBD">
              <w:t>0</w:t>
            </w:r>
          </w:p>
        </w:tc>
        <w:tc>
          <w:tcPr>
            <w:tcW w:w="2147" w:type="dxa"/>
          </w:tcPr>
          <w:p w:rsidR="003F4FA6" w:rsidRPr="002A6DBD" w:rsidRDefault="00DC7AF3" w:rsidP="008F2510">
            <w:pPr>
              <w:jc w:val="center"/>
            </w:pPr>
            <w:r w:rsidRPr="002A6DBD">
              <w:t>25</w:t>
            </w:r>
          </w:p>
        </w:tc>
        <w:tc>
          <w:tcPr>
            <w:tcW w:w="2147" w:type="dxa"/>
          </w:tcPr>
          <w:p w:rsidR="003F4FA6" w:rsidRPr="002A6DBD" w:rsidRDefault="00432143" w:rsidP="00432143">
            <w:pPr>
              <w:jc w:val="center"/>
            </w:pPr>
            <w:r w:rsidRPr="002A6DBD">
              <w:t>175</w:t>
            </w:r>
          </w:p>
        </w:tc>
      </w:tr>
      <w:tr w:rsidR="000F7A39" w:rsidRPr="002A6DBD" w:rsidTr="000F7A39">
        <w:tc>
          <w:tcPr>
            <w:tcW w:w="2802" w:type="dxa"/>
          </w:tcPr>
          <w:p w:rsidR="000F7A39" w:rsidRPr="002A6DBD" w:rsidRDefault="000F7A39" w:rsidP="002A6DBD">
            <w:r w:rsidRPr="002A6DBD">
              <w:t>LTHE</w:t>
            </w:r>
            <w:r w:rsidR="002A6DBD">
              <w:t xml:space="preserve"> (Stage 1 and 2)</w:t>
            </w:r>
          </w:p>
        </w:tc>
        <w:tc>
          <w:tcPr>
            <w:tcW w:w="2146" w:type="dxa"/>
          </w:tcPr>
          <w:p w:rsidR="000F7A39" w:rsidRPr="002A6DBD" w:rsidRDefault="00432143" w:rsidP="008F2510">
            <w:pPr>
              <w:jc w:val="center"/>
            </w:pPr>
            <w:r w:rsidRPr="002A6DBD">
              <w:t>12</w:t>
            </w:r>
          </w:p>
        </w:tc>
        <w:tc>
          <w:tcPr>
            <w:tcW w:w="2147" w:type="dxa"/>
          </w:tcPr>
          <w:p w:rsidR="000F7A39" w:rsidRPr="002A6DBD" w:rsidRDefault="00432143" w:rsidP="008F2510">
            <w:pPr>
              <w:jc w:val="center"/>
            </w:pPr>
            <w:r w:rsidRPr="002A6DBD">
              <w:t>44</w:t>
            </w:r>
          </w:p>
        </w:tc>
        <w:tc>
          <w:tcPr>
            <w:tcW w:w="2147" w:type="dxa"/>
          </w:tcPr>
          <w:p w:rsidR="000F7A39" w:rsidRPr="002A6DBD" w:rsidRDefault="00432143" w:rsidP="008F2510">
            <w:pPr>
              <w:jc w:val="center"/>
            </w:pPr>
            <w:r w:rsidRPr="002A6DBD">
              <w:t>57</w:t>
            </w:r>
          </w:p>
        </w:tc>
      </w:tr>
      <w:tr w:rsidR="003F4FA6" w:rsidRPr="002A6DBD" w:rsidTr="000F7A39">
        <w:tc>
          <w:tcPr>
            <w:tcW w:w="2802" w:type="dxa"/>
          </w:tcPr>
          <w:p w:rsidR="003F4FA6" w:rsidRPr="002A6DBD" w:rsidRDefault="003F4FA6" w:rsidP="00282AF0">
            <w:r w:rsidRPr="002A6DBD">
              <w:t>Tailored ECR events</w:t>
            </w:r>
          </w:p>
        </w:tc>
        <w:tc>
          <w:tcPr>
            <w:tcW w:w="2146" w:type="dxa"/>
          </w:tcPr>
          <w:p w:rsidR="003F4FA6" w:rsidRPr="002A6DBD" w:rsidRDefault="00227245" w:rsidP="008F2510">
            <w:pPr>
              <w:jc w:val="center"/>
            </w:pPr>
            <w:r w:rsidRPr="002A6DBD">
              <w:t>51</w:t>
            </w:r>
          </w:p>
        </w:tc>
        <w:tc>
          <w:tcPr>
            <w:tcW w:w="2147" w:type="dxa"/>
          </w:tcPr>
          <w:p w:rsidR="003F4FA6" w:rsidRPr="002A6DBD" w:rsidRDefault="00227245" w:rsidP="008F2510">
            <w:pPr>
              <w:jc w:val="center"/>
            </w:pPr>
            <w:r w:rsidRPr="002A6DBD">
              <w:t>31</w:t>
            </w:r>
          </w:p>
        </w:tc>
        <w:tc>
          <w:tcPr>
            <w:tcW w:w="2147" w:type="dxa"/>
          </w:tcPr>
          <w:p w:rsidR="00BC612F" w:rsidRPr="002A6DBD" w:rsidRDefault="00432143" w:rsidP="008F2510">
            <w:pPr>
              <w:jc w:val="center"/>
            </w:pPr>
            <w:r w:rsidRPr="002A6DBD">
              <w:t>60</w:t>
            </w:r>
          </w:p>
        </w:tc>
      </w:tr>
      <w:tr w:rsidR="00432143" w:rsidRPr="002A6DBD" w:rsidTr="000F7A39">
        <w:tc>
          <w:tcPr>
            <w:tcW w:w="2802" w:type="dxa"/>
          </w:tcPr>
          <w:p w:rsidR="00432143" w:rsidRPr="002A6DBD" w:rsidRDefault="00432143" w:rsidP="00432143">
            <w:r w:rsidRPr="002A6DBD">
              <w:t>RDO (</w:t>
            </w:r>
            <w:r w:rsidR="00C43E8D" w:rsidRPr="002A6DBD">
              <w:t xml:space="preserve">best </w:t>
            </w:r>
            <w:r w:rsidRPr="002A6DBD">
              <w:t>estimate</w:t>
            </w:r>
            <w:r w:rsidR="00C43E8D" w:rsidRPr="002A6DBD">
              <w:t>s</w:t>
            </w:r>
            <w:r w:rsidRPr="002A6DBD">
              <w:t>)</w:t>
            </w:r>
          </w:p>
        </w:tc>
        <w:tc>
          <w:tcPr>
            <w:tcW w:w="2146" w:type="dxa"/>
          </w:tcPr>
          <w:p w:rsidR="00432143" w:rsidRPr="002A6DBD" w:rsidRDefault="00C43E8D" w:rsidP="00227245">
            <w:pPr>
              <w:jc w:val="center"/>
            </w:pPr>
            <w:r w:rsidRPr="002A6DBD">
              <w:t>50</w:t>
            </w:r>
          </w:p>
        </w:tc>
        <w:tc>
          <w:tcPr>
            <w:tcW w:w="2147" w:type="dxa"/>
          </w:tcPr>
          <w:p w:rsidR="00432143" w:rsidRPr="002A6DBD" w:rsidRDefault="00432143" w:rsidP="00227245">
            <w:pPr>
              <w:jc w:val="center"/>
            </w:pPr>
            <w:r w:rsidRPr="002A6DBD">
              <w:t>170</w:t>
            </w:r>
          </w:p>
        </w:tc>
        <w:tc>
          <w:tcPr>
            <w:tcW w:w="2147" w:type="dxa"/>
          </w:tcPr>
          <w:p w:rsidR="00432143" w:rsidRPr="002A6DBD" w:rsidRDefault="00432143" w:rsidP="00227245">
            <w:pPr>
              <w:jc w:val="center"/>
            </w:pPr>
            <w:r w:rsidRPr="002A6DBD">
              <w:t>180</w:t>
            </w:r>
          </w:p>
        </w:tc>
      </w:tr>
      <w:tr w:rsidR="00227245" w:rsidRPr="002A6DBD" w:rsidTr="000F7A39">
        <w:tc>
          <w:tcPr>
            <w:tcW w:w="2802" w:type="dxa"/>
          </w:tcPr>
          <w:p w:rsidR="00227245" w:rsidRPr="002A6DBD" w:rsidRDefault="00227245" w:rsidP="00432143">
            <w:pPr>
              <w:rPr>
                <w:b/>
              </w:rPr>
            </w:pPr>
            <w:r w:rsidRPr="002A6DBD">
              <w:rPr>
                <w:b/>
              </w:rPr>
              <w:t>Total</w:t>
            </w:r>
            <w:r w:rsidR="00432143" w:rsidRPr="002A6DBD">
              <w:rPr>
                <w:b/>
              </w:rPr>
              <w:t xml:space="preserve"> engagements</w:t>
            </w:r>
          </w:p>
        </w:tc>
        <w:tc>
          <w:tcPr>
            <w:tcW w:w="2146" w:type="dxa"/>
          </w:tcPr>
          <w:p w:rsidR="00227245" w:rsidRPr="002A6DBD" w:rsidRDefault="00432143" w:rsidP="00227245">
            <w:pPr>
              <w:jc w:val="center"/>
              <w:rPr>
                <w:b/>
              </w:rPr>
            </w:pPr>
            <w:r w:rsidRPr="002A6DBD">
              <w:rPr>
                <w:b/>
              </w:rPr>
              <w:t>1</w:t>
            </w:r>
            <w:r w:rsidR="00C43E8D" w:rsidRPr="002A6DBD">
              <w:rPr>
                <w:b/>
              </w:rPr>
              <w:t>47</w:t>
            </w:r>
          </w:p>
        </w:tc>
        <w:tc>
          <w:tcPr>
            <w:tcW w:w="2147" w:type="dxa"/>
          </w:tcPr>
          <w:p w:rsidR="00227245" w:rsidRPr="002A6DBD" w:rsidRDefault="00C43E8D" w:rsidP="00227245">
            <w:pPr>
              <w:jc w:val="center"/>
              <w:rPr>
                <w:b/>
              </w:rPr>
            </w:pPr>
            <w:r w:rsidRPr="002A6DBD">
              <w:rPr>
                <w:b/>
              </w:rPr>
              <w:t>287</w:t>
            </w:r>
          </w:p>
        </w:tc>
        <w:tc>
          <w:tcPr>
            <w:tcW w:w="2147" w:type="dxa"/>
          </w:tcPr>
          <w:p w:rsidR="00227245" w:rsidRPr="002A6DBD" w:rsidRDefault="00C43E8D" w:rsidP="00227245">
            <w:pPr>
              <w:jc w:val="center"/>
              <w:rPr>
                <w:b/>
              </w:rPr>
            </w:pPr>
            <w:r w:rsidRPr="002A6DBD">
              <w:rPr>
                <w:b/>
              </w:rPr>
              <w:t>472</w:t>
            </w:r>
          </w:p>
        </w:tc>
      </w:tr>
    </w:tbl>
    <w:p w:rsidR="00BC612F" w:rsidRPr="002A6DBD" w:rsidRDefault="00BC612F" w:rsidP="00282AF0"/>
    <w:p w:rsidR="004F205C" w:rsidRPr="002A6DBD" w:rsidRDefault="00683084" w:rsidP="004F205C">
      <w:r w:rsidRPr="002A6DBD">
        <w:t>There</w:t>
      </w:r>
      <w:r w:rsidR="004F205C" w:rsidRPr="002A6DBD">
        <w:t xml:space="preserve"> has been a significant rise </w:t>
      </w:r>
      <w:r w:rsidRPr="002A6DBD">
        <w:t xml:space="preserve">in </w:t>
      </w:r>
      <w:r w:rsidR="00BC612F" w:rsidRPr="002A6DBD">
        <w:t xml:space="preserve">ECR engagements </w:t>
      </w:r>
      <w:r w:rsidR="00C43E8D" w:rsidRPr="002A6DBD">
        <w:t>in</w:t>
      </w:r>
      <w:r w:rsidR="00BC612F" w:rsidRPr="002A6DBD">
        <w:t xml:space="preserve"> training on offer through RDP</w:t>
      </w:r>
      <w:r w:rsidR="00432143" w:rsidRPr="002A6DBD">
        <w:t>, RDO and ECR tailored events</w:t>
      </w:r>
      <w:r w:rsidR="00BC612F" w:rsidRPr="002A6DBD">
        <w:t>.</w:t>
      </w:r>
      <w:r w:rsidR="00D5546E" w:rsidRPr="002A6DBD">
        <w:t xml:space="preserve"> Tailored events </w:t>
      </w:r>
      <w:r w:rsidR="004F205C" w:rsidRPr="002A6DBD">
        <w:t>included: Project Management, Career Explorer, Meet the Editors and Entrepreneurial Practice.</w:t>
      </w:r>
      <w:r w:rsidR="00432143" w:rsidRPr="002A6DBD">
        <w:t xml:space="preserve"> </w:t>
      </w:r>
    </w:p>
    <w:p w:rsidR="00BC612F" w:rsidRPr="00C43E8D" w:rsidRDefault="00BC612F" w:rsidP="00282AF0">
      <w:pPr>
        <w:rPr>
          <w:color w:val="FF0000"/>
        </w:rPr>
      </w:pPr>
    </w:p>
    <w:p w:rsidR="00673519" w:rsidRDefault="00673519" w:rsidP="00282AF0">
      <w:pPr>
        <w:rPr>
          <w:b/>
        </w:rPr>
      </w:pPr>
    </w:p>
    <w:p w:rsidR="00673519" w:rsidRDefault="00673519" w:rsidP="00282AF0">
      <w:pPr>
        <w:rPr>
          <w:b/>
        </w:rPr>
      </w:pPr>
    </w:p>
    <w:p w:rsidR="00673519" w:rsidRDefault="00673519" w:rsidP="00282AF0">
      <w:pPr>
        <w:rPr>
          <w:b/>
        </w:rPr>
      </w:pPr>
    </w:p>
    <w:p w:rsidR="00382BD7" w:rsidRDefault="00382BD7" w:rsidP="00282AF0">
      <w:pPr>
        <w:rPr>
          <w:b/>
        </w:rPr>
      </w:pPr>
      <w:r w:rsidRPr="00382BD7">
        <w:rPr>
          <w:b/>
        </w:rPr>
        <w:t>Researcher Involvement</w:t>
      </w:r>
    </w:p>
    <w:p w:rsidR="00673519" w:rsidRDefault="00394AC5" w:rsidP="00282AF0">
      <w:pPr>
        <w:rPr>
          <w:b/>
        </w:rPr>
      </w:pPr>
      <w:r w:rsidRPr="00030CFE">
        <w:rPr>
          <w:b/>
        </w:rPr>
        <w:t>(2009 plan pt. 6 and 8</w:t>
      </w:r>
      <w:r w:rsidR="008D6C46" w:rsidRPr="00030CFE">
        <w:rPr>
          <w:b/>
        </w:rPr>
        <w:t xml:space="preserve"> –</w:t>
      </w:r>
      <w:r w:rsidR="00360AB4" w:rsidRPr="00030CFE">
        <w:rPr>
          <w:b/>
        </w:rPr>
        <w:t xml:space="preserve"> complete</w:t>
      </w:r>
      <w:r w:rsidRPr="00030CFE">
        <w:rPr>
          <w:b/>
        </w:rPr>
        <w:t>)</w:t>
      </w:r>
    </w:p>
    <w:p w:rsidR="00382BD7" w:rsidRDefault="00382BD7" w:rsidP="00382BD7">
      <w:r w:rsidRPr="00EF4744">
        <w:t>To enhance interdisciplinary and inter-campus working, two researcher development user groups have been established one in Cornwall and one in Exeter. Each team comprises of PGR and ECR representatives from each College. Team leaders (both ECRs) are also members of the RD Steering Group</w:t>
      </w:r>
      <w:r w:rsidR="00D3071D">
        <w:t xml:space="preserve"> (see below)</w:t>
      </w:r>
      <w:r w:rsidRPr="00EF4744">
        <w:t>. The purpose of each team is to coordinate, champion and communicate researcher development activities across Colleges in Exeter and Cornwall and to provide a forum for highlighting RD issues and needs to the Steering Group.</w:t>
      </w:r>
    </w:p>
    <w:p w:rsidR="00814957" w:rsidRDefault="00814957" w:rsidP="00382BD7"/>
    <w:p w:rsidR="002A6DBD" w:rsidRDefault="002A6DBD" w:rsidP="002A6DBD">
      <w:pPr>
        <w:rPr>
          <w:rFonts w:asciiTheme="minorHAnsi" w:hAnsiTheme="minorHAnsi"/>
          <w:b/>
        </w:rPr>
      </w:pPr>
      <w:r>
        <w:rPr>
          <w:rFonts w:asciiTheme="minorHAnsi" w:hAnsiTheme="minorHAnsi"/>
          <w:b/>
        </w:rPr>
        <w:t>Equality and Diversity – Athena SWAN</w:t>
      </w:r>
    </w:p>
    <w:p w:rsidR="008D6C46" w:rsidRDefault="008D6C46" w:rsidP="002A6DBD">
      <w:pPr>
        <w:rPr>
          <w:rFonts w:asciiTheme="minorHAnsi" w:hAnsiTheme="minorHAnsi"/>
          <w:b/>
        </w:rPr>
      </w:pPr>
      <w:r w:rsidRPr="00030CFE">
        <w:rPr>
          <w:rFonts w:asciiTheme="minorHAnsi" w:hAnsiTheme="minorHAnsi"/>
          <w:b/>
        </w:rPr>
        <w:t>(Additional to 2009 plan)</w:t>
      </w:r>
    </w:p>
    <w:p w:rsidR="002A6DBD" w:rsidRDefault="002A6DBD" w:rsidP="002A6DBD">
      <w:pPr>
        <w:rPr>
          <w:rFonts w:asciiTheme="minorHAnsi" w:hAnsiTheme="minorHAnsi" w:cs="Tahoma"/>
        </w:rPr>
      </w:pPr>
      <w:r>
        <w:rPr>
          <w:rFonts w:asciiTheme="minorHAnsi" w:hAnsiTheme="minorHAnsi" w:cs="Tahoma"/>
        </w:rPr>
        <w:t xml:space="preserve">Exeter University received </w:t>
      </w:r>
      <w:r w:rsidR="00472787">
        <w:rPr>
          <w:rFonts w:asciiTheme="minorHAnsi" w:hAnsiTheme="minorHAnsi" w:cs="Tahoma"/>
        </w:rPr>
        <w:t xml:space="preserve">a </w:t>
      </w:r>
      <w:r>
        <w:rPr>
          <w:rFonts w:asciiTheme="minorHAnsi" w:hAnsiTheme="minorHAnsi" w:cs="Tahoma"/>
        </w:rPr>
        <w:t>Bronze Athena SWAN award in April 2012 and plans a</w:t>
      </w:r>
      <w:r w:rsidR="007836DD">
        <w:rPr>
          <w:rFonts w:asciiTheme="minorHAnsi" w:hAnsiTheme="minorHAnsi" w:cs="Tahoma"/>
        </w:rPr>
        <w:t>re underway to submit discipline</w:t>
      </w:r>
      <w:r>
        <w:rPr>
          <w:rFonts w:asciiTheme="minorHAnsi" w:hAnsiTheme="minorHAnsi" w:cs="Tahoma"/>
        </w:rPr>
        <w:t xml:space="preserve"> level applications which will be at Bronze and Silver level in April 2013 and April 2014.  D</w:t>
      </w:r>
      <w:r w:rsidR="007836DD">
        <w:rPr>
          <w:rFonts w:asciiTheme="minorHAnsi" w:hAnsiTheme="minorHAnsi" w:cs="Tahoma"/>
        </w:rPr>
        <w:t>ata analysis for each discipline</w:t>
      </w:r>
      <w:r>
        <w:rPr>
          <w:rFonts w:asciiTheme="minorHAnsi" w:hAnsiTheme="minorHAnsi" w:cs="Tahoma"/>
        </w:rPr>
        <w:t xml:space="preserve"> has begun, coordinated by HR and linked to the Athena SWAN principles. As part of th</w:t>
      </w:r>
      <w:r w:rsidR="007836DD">
        <w:rPr>
          <w:rFonts w:asciiTheme="minorHAnsi" w:hAnsiTheme="minorHAnsi" w:cs="Tahoma"/>
        </w:rPr>
        <w:t>is self analysis each discipline</w:t>
      </w:r>
      <w:r>
        <w:rPr>
          <w:rFonts w:asciiTheme="minorHAnsi" w:hAnsiTheme="minorHAnsi" w:cs="Tahoma"/>
        </w:rPr>
        <w:t xml:space="preserve"> will review the key career stages for research staff and focus on where people leave the field, assessing what can be put in place to retain and su</w:t>
      </w:r>
      <w:r w:rsidR="007836DD">
        <w:rPr>
          <w:rFonts w:asciiTheme="minorHAnsi" w:hAnsiTheme="minorHAnsi" w:cs="Tahoma"/>
        </w:rPr>
        <w:t>pport them. For many disciplines</w:t>
      </w:r>
      <w:r>
        <w:rPr>
          <w:rFonts w:asciiTheme="minorHAnsi" w:hAnsiTheme="minorHAnsi" w:cs="Tahoma"/>
        </w:rPr>
        <w:t xml:space="preserve">, the main </w:t>
      </w:r>
      <w:r w:rsidR="00472787">
        <w:rPr>
          <w:rFonts w:asciiTheme="minorHAnsi" w:hAnsiTheme="minorHAnsi" w:cs="Tahoma"/>
        </w:rPr>
        <w:t xml:space="preserve">focus of action </w:t>
      </w:r>
      <w:r>
        <w:rPr>
          <w:rFonts w:asciiTheme="minorHAnsi" w:hAnsiTheme="minorHAnsi" w:cs="Tahoma"/>
        </w:rPr>
        <w:t xml:space="preserve">will be aimed at ECRs </w:t>
      </w:r>
      <w:r w:rsidR="00472787">
        <w:rPr>
          <w:rFonts w:asciiTheme="minorHAnsi" w:hAnsiTheme="minorHAnsi" w:cs="Tahoma"/>
        </w:rPr>
        <w:t xml:space="preserve">and include </w:t>
      </w:r>
      <w:r>
        <w:rPr>
          <w:rFonts w:asciiTheme="minorHAnsi" w:hAnsiTheme="minorHAnsi" w:cs="Tahoma"/>
        </w:rPr>
        <w:t xml:space="preserve">improved mentoring support, early career researcher networks, and an increase in targeted training programmes. </w:t>
      </w:r>
    </w:p>
    <w:p w:rsidR="00990892" w:rsidRDefault="00990892" w:rsidP="00836A1D">
      <w:pPr>
        <w:pStyle w:val="Heading1"/>
      </w:pPr>
      <w:r w:rsidRPr="00BC06A7">
        <w:t>Next Steps and Strategy for 2012/13 and 2013/14</w:t>
      </w:r>
    </w:p>
    <w:p w:rsidR="00EF4744" w:rsidRDefault="00EF4744" w:rsidP="007E3597">
      <w:pPr>
        <w:rPr>
          <w:b/>
        </w:rPr>
      </w:pPr>
    </w:p>
    <w:p w:rsidR="00EF4744" w:rsidRPr="00836A1D" w:rsidRDefault="00EF4744" w:rsidP="00EF4744">
      <w:pPr>
        <w:rPr>
          <w:b/>
        </w:rPr>
      </w:pPr>
      <w:r w:rsidRPr="00836A1D">
        <w:rPr>
          <w:b/>
        </w:rPr>
        <w:t>Steering Group: enhanced cross-College working and ownership</w:t>
      </w:r>
      <w:r w:rsidR="008D6C46">
        <w:rPr>
          <w:b/>
        </w:rPr>
        <w:t xml:space="preserve"> </w:t>
      </w:r>
      <w:r w:rsidR="008D6C46" w:rsidRPr="00030CFE">
        <w:rPr>
          <w:b/>
        </w:rPr>
        <w:t>(RDT - Implemented)</w:t>
      </w:r>
    </w:p>
    <w:p w:rsidR="00EF4744" w:rsidRPr="00720A42" w:rsidRDefault="00836A1D" w:rsidP="007836DD">
      <w:r>
        <w:t>A new Researcher Development (RD)</w:t>
      </w:r>
      <w:r w:rsidR="00EF4744" w:rsidRPr="00EF4744">
        <w:t xml:space="preserve"> Steering Group has been established to provide a strategic forum to oversee the </w:t>
      </w:r>
      <w:r w:rsidR="00EF4744" w:rsidRPr="00EF4744">
        <w:rPr>
          <w:u w:val="single"/>
        </w:rPr>
        <w:t>core</w:t>
      </w:r>
      <w:r w:rsidR="00BC612F">
        <w:t xml:space="preserve"> work coordinated by the RDT</w:t>
      </w:r>
      <w:r w:rsidR="00EF4744" w:rsidRPr="00EF4744">
        <w:t xml:space="preserve"> and effect stronger links with Colleges. </w:t>
      </w:r>
      <w:r w:rsidR="00C43E8D" w:rsidRPr="002A6DBD">
        <w:t>This Steering Group will be responsible for driving forward the new Researcher Development Position Document and Plan (2012-2015).</w:t>
      </w:r>
      <w:r w:rsidR="00C43E8D">
        <w:t xml:space="preserve"> </w:t>
      </w:r>
      <w:r>
        <w:t xml:space="preserve">The group represents a wide range of stakeholders including </w:t>
      </w:r>
      <w:r w:rsidR="007836DD">
        <w:t>ECRs, PGRs, Academics</w:t>
      </w:r>
      <w:r>
        <w:t>, HR, Education</w:t>
      </w:r>
      <w:r w:rsidR="00BC612F">
        <w:t xml:space="preserve"> Enhancement</w:t>
      </w:r>
      <w:r>
        <w:t xml:space="preserve">, Employability and Graduate Development and Great Western Research. </w:t>
      </w:r>
      <w:r w:rsidR="00EF4744" w:rsidRPr="00EF4744">
        <w:t>The aim is to maximise engagement with and impact upon, both the PGR and ECR communities across all Colleges. This forum, amongst other things, will be used to map training op</w:t>
      </w:r>
      <w:r>
        <w:t>portunities currently provided c</w:t>
      </w:r>
      <w:r w:rsidR="00EF4744" w:rsidRPr="00EF4744">
        <w:t xml:space="preserve">entrally and in Colleges. </w:t>
      </w:r>
    </w:p>
    <w:p w:rsidR="00990892" w:rsidRDefault="00990892" w:rsidP="00BC06A7"/>
    <w:p w:rsidR="00BC06A7" w:rsidRPr="008D6C46" w:rsidRDefault="00BC06A7" w:rsidP="00BC06A7">
      <w:r w:rsidRPr="00BC06A7">
        <w:rPr>
          <w:b/>
          <w:i/>
        </w:rPr>
        <w:t>New ECR Development Programme</w:t>
      </w:r>
      <w:r w:rsidR="008D6C46">
        <w:rPr>
          <w:b/>
          <w:i/>
        </w:rPr>
        <w:t xml:space="preserve"> </w:t>
      </w:r>
      <w:r w:rsidR="008D6C46" w:rsidRPr="00030CFE">
        <w:rPr>
          <w:b/>
        </w:rPr>
        <w:t>(RDT – in progress)</w:t>
      </w:r>
    </w:p>
    <w:p w:rsidR="00BC06A7" w:rsidRDefault="00BC06A7" w:rsidP="00BC06A7">
      <w:r w:rsidRPr="002D7B05">
        <w:t xml:space="preserve">A new central and specialist </w:t>
      </w:r>
      <w:r>
        <w:t>programme for ECRs</w:t>
      </w:r>
      <w:r w:rsidRPr="002D7B05">
        <w:t xml:space="preserve"> will be designed, developed and evaluated during 2012-2013</w:t>
      </w:r>
      <w:r>
        <w:t xml:space="preserve"> to run in parallel with the Researcher Development Programme</w:t>
      </w:r>
      <w:r w:rsidRPr="002D7B05">
        <w:t>. The programme will consist of between 15 and 20 topics (depending on content overlap and popularity) all run across 3 key themes: ‘</w:t>
      </w:r>
      <w:r w:rsidRPr="002D7B05">
        <w:rPr>
          <w:i/>
        </w:rPr>
        <w:t>Advancing your research career’</w:t>
      </w:r>
      <w:r w:rsidRPr="002D7B05">
        <w:t>, ‘</w:t>
      </w:r>
      <w:r w:rsidRPr="002D7B05">
        <w:rPr>
          <w:i/>
        </w:rPr>
        <w:t>Careers beyond academia’</w:t>
      </w:r>
      <w:r w:rsidRPr="002D7B05">
        <w:t>, ‘</w:t>
      </w:r>
      <w:r w:rsidRPr="002D7B05">
        <w:rPr>
          <w:i/>
        </w:rPr>
        <w:t>Enhancing personal effectiveness’</w:t>
      </w:r>
      <w:r w:rsidRPr="002D7B05">
        <w:t>.</w:t>
      </w:r>
    </w:p>
    <w:p w:rsidR="00BC06A7" w:rsidRDefault="00BC06A7" w:rsidP="00BC06A7"/>
    <w:p w:rsidR="00BC06A7" w:rsidRPr="00BC06A7" w:rsidRDefault="00BC06A7" w:rsidP="00BC06A7">
      <w:pPr>
        <w:rPr>
          <w:b/>
          <w:i/>
        </w:rPr>
      </w:pPr>
      <w:r w:rsidRPr="00BC06A7">
        <w:rPr>
          <w:b/>
          <w:i/>
        </w:rPr>
        <w:t xml:space="preserve">ECR </w:t>
      </w:r>
      <w:r w:rsidRPr="002A6DBD">
        <w:rPr>
          <w:b/>
          <w:i/>
        </w:rPr>
        <w:t>‘</w:t>
      </w:r>
      <w:r w:rsidR="00C43E8D" w:rsidRPr="002A6DBD">
        <w:rPr>
          <w:b/>
          <w:i/>
        </w:rPr>
        <w:t>Academic Fast-track’</w:t>
      </w:r>
      <w:r w:rsidRPr="00BC06A7">
        <w:rPr>
          <w:b/>
          <w:i/>
        </w:rPr>
        <w:t xml:space="preserve"> Programme</w:t>
      </w:r>
      <w:r w:rsidR="008D6C46">
        <w:rPr>
          <w:b/>
          <w:i/>
        </w:rPr>
        <w:t xml:space="preserve"> </w:t>
      </w:r>
      <w:r w:rsidR="008D6C46" w:rsidRPr="00030CFE">
        <w:rPr>
          <w:b/>
        </w:rPr>
        <w:t>(RDT – to action)</w:t>
      </w:r>
    </w:p>
    <w:p w:rsidR="00BC06A7" w:rsidRDefault="00BC06A7" w:rsidP="00BC06A7">
      <w:r w:rsidRPr="00A73224">
        <w:t xml:space="preserve">To address the need to increase research income and develop our own research talent, a new </w:t>
      </w:r>
      <w:r w:rsidRPr="002A6DBD">
        <w:t>‘</w:t>
      </w:r>
      <w:r w:rsidR="00C43E8D" w:rsidRPr="002A6DBD">
        <w:t>Academic Fast Track</w:t>
      </w:r>
      <w:r w:rsidRPr="002A6DBD">
        <w:t xml:space="preserve"> Programme’ for</w:t>
      </w:r>
      <w:r w:rsidRPr="00A73224">
        <w:t xml:space="preserve"> Independent Research Fellows is proposed and costs will be determined by Dec 2012. Attendance will be by invitation only and is likely to be high</w:t>
      </w:r>
      <w:r>
        <w:t>ly selective (e.g. &lt; 10% of ECRs</w:t>
      </w:r>
      <w:r w:rsidRPr="00A73224">
        <w:t xml:space="preserve"> a year). </w:t>
      </w:r>
      <w:r w:rsidR="00C26045">
        <w:t>The aim of this programme will</w:t>
      </w:r>
      <w:r w:rsidRPr="00A73224">
        <w:t xml:space="preserve"> be to</w:t>
      </w:r>
      <w:r w:rsidR="00C26045">
        <w:t xml:space="preserve"> develop promising independent Research F</w:t>
      </w:r>
      <w:r w:rsidRPr="00A73224">
        <w:t xml:space="preserve">ellows to support the strategic award application process and develop their skills to manage larger budgets and teams. </w:t>
      </w:r>
    </w:p>
    <w:p w:rsidR="00BC06A7" w:rsidRPr="00A73224" w:rsidRDefault="00BC06A7" w:rsidP="00BC06A7"/>
    <w:p w:rsidR="00BC06A7" w:rsidRDefault="00BC06A7" w:rsidP="00BC06A7">
      <w:r w:rsidRPr="00A73224">
        <w:t>There would be considerable value in using strategic award holders as mentors and the feasibility</w:t>
      </w:r>
      <w:r w:rsidR="00C26045">
        <w:t xml:space="preserve"> of this will also be evaluated</w:t>
      </w:r>
      <w:r w:rsidRPr="00A73224">
        <w:t>. Some potential elements of this new programme will be evaluated as p</w:t>
      </w:r>
      <w:r w:rsidR="00C26045">
        <w:t xml:space="preserve">art of the new ECR </w:t>
      </w:r>
      <w:r w:rsidRPr="00A73224">
        <w:t>Development Programme.</w:t>
      </w:r>
    </w:p>
    <w:p w:rsidR="00BC06A7" w:rsidRDefault="00BC06A7" w:rsidP="00BC06A7"/>
    <w:p w:rsidR="00BC06A7" w:rsidRPr="00BC06A7" w:rsidRDefault="00BC06A7" w:rsidP="00BC06A7">
      <w:pPr>
        <w:rPr>
          <w:b/>
        </w:rPr>
      </w:pPr>
      <w:r w:rsidRPr="00BC06A7">
        <w:rPr>
          <w:b/>
        </w:rPr>
        <w:t>Mandatory training</w:t>
      </w:r>
      <w:r w:rsidR="008D6C46">
        <w:rPr>
          <w:b/>
        </w:rPr>
        <w:t xml:space="preserve"> </w:t>
      </w:r>
      <w:r w:rsidR="008D6C46" w:rsidRPr="00030CFE">
        <w:rPr>
          <w:b/>
        </w:rPr>
        <w:t>(HR/RDT – to action)</w:t>
      </w:r>
    </w:p>
    <w:p w:rsidR="00BC06A7" w:rsidRDefault="00BC06A7" w:rsidP="00BC06A7">
      <w:r w:rsidRPr="00A73224">
        <w:t>For ECRs, mandatory training would best be discussed and agreed to</w:t>
      </w:r>
      <w:r w:rsidR="00310037">
        <w:t>wards the end of 2012/13 after the</w:t>
      </w:r>
      <w:r w:rsidRPr="00A73224">
        <w:t xml:space="preserve"> new ECR programme has been delivered and evaluated.  </w:t>
      </w:r>
    </w:p>
    <w:sectPr w:rsidR="00BC06A7" w:rsidSect="00151C2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75C" w:rsidRDefault="009F775C" w:rsidP="008D003D">
      <w:r>
        <w:separator/>
      </w:r>
    </w:p>
  </w:endnote>
  <w:endnote w:type="continuationSeparator" w:id="0">
    <w:p w:rsidR="009F775C" w:rsidRDefault="009F775C" w:rsidP="008D00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05094"/>
      <w:docPartObj>
        <w:docPartGallery w:val="Page Numbers (Bottom of Page)"/>
        <w:docPartUnique/>
      </w:docPartObj>
    </w:sdtPr>
    <w:sdtContent>
      <w:p w:rsidR="008D6C46" w:rsidRDefault="003F061A">
        <w:pPr>
          <w:pStyle w:val="Footer"/>
          <w:jc w:val="center"/>
        </w:pPr>
        <w:fldSimple w:instr=" PAGE   \* MERGEFORMAT ">
          <w:r w:rsidR="00934B61">
            <w:rPr>
              <w:noProof/>
            </w:rPr>
            <w:t>2</w:t>
          </w:r>
        </w:fldSimple>
      </w:p>
    </w:sdtContent>
  </w:sdt>
  <w:p w:rsidR="008D6C46" w:rsidRDefault="008D6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75C" w:rsidRDefault="009F775C" w:rsidP="008D003D">
      <w:r>
        <w:separator/>
      </w:r>
    </w:p>
  </w:footnote>
  <w:footnote w:type="continuationSeparator" w:id="0">
    <w:p w:rsidR="009F775C" w:rsidRDefault="009F775C" w:rsidP="008D0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C46" w:rsidRDefault="008D6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D63BC"/>
    <w:multiLevelType w:val="hybridMultilevel"/>
    <w:tmpl w:val="C7F6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D751A4"/>
    <w:multiLevelType w:val="hybridMultilevel"/>
    <w:tmpl w:val="89C6E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B12DEC"/>
    <w:multiLevelType w:val="hybridMultilevel"/>
    <w:tmpl w:val="C406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1513FE"/>
    <w:multiLevelType w:val="hybridMultilevel"/>
    <w:tmpl w:val="5FD60D74"/>
    <w:lvl w:ilvl="0" w:tplc="68F61950">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C33EB6"/>
    <w:multiLevelType w:val="hybridMultilevel"/>
    <w:tmpl w:val="2E62AED4"/>
    <w:lvl w:ilvl="0" w:tplc="68F61950">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075A18"/>
    <w:multiLevelType w:val="hybridMultilevel"/>
    <w:tmpl w:val="754447D8"/>
    <w:lvl w:ilvl="0" w:tplc="5DD893E0">
      <w:start w:val="1"/>
      <w:numFmt w:val="decimal"/>
      <w:lvlText w:val="%1"/>
      <w:lvlJc w:val="left"/>
      <w:pPr>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6EAC1AD0"/>
    <w:multiLevelType w:val="hybridMultilevel"/>
    <w:tmpl w:val="BCD49B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7E3597"/>
    <w:rsid w:val="00030CFE"/>
    <w:rsid w:val="00050755"/>
    <w:rsid w:val="00056125"/>
    <w:rsid w:val="000E35F3"/>
    <w:rsid w:val="000F7A39"/>
    <w:rsid w:val="00150E96"/>
    <w:rsid w:val="00151C22"/>
    <w:rsid w:val="00160701"/>
    <w:rsid w:val="001A082C"/>
    <w:rsid w:val="001B0895"/>
    <w:rsid w:val="001D67F4"/>
    <w:rsid w:val="001E7BBF"/>
    <w:rsid w:val="001F7139"/>
    <w:rsid w:val="001F72C9"/>
    <w:rsid w:val="00227245"/>
    <w:rsid w:val="00230F70"/>
    <w:rsid w:val="00244738"/>
    <w:rsid w:val="00282AF0"/>
    <w:rsid w:val="00291F20"/>
    <w:rsid w:val="002A6DBD"/>
    <w:rsid w:val="00310037"/>
    <w:rsid w:val="00334EC7"/>
    <w:rsid w:val="00340F5D"/>
    <w:rsid w:val="00346E13"/>
    <w:rsid w:val="00352B8A"/>
    <w:rsid w:val="00360AB4"/>
    <w:rsid w:val="00382BD7"/>
    <w:rsid w:val="0039327A"/>
    <w:rsid w:val="00394AC5"/>
    <w:rsid w:val="003F061A"/>
    <w:rsid w:val="003F4FA6"/>
    <w:rsid w:val="00412D9A"/>
    <w:rsid w:val="00432143"/>
    <w:rsid w:val="00472787"/>
    <w:rsid w:val="00491F7B"/>
    <w:rsid w:val="004F205C"/>
    <w:rsid w:val="00591D7D"/>
    <w:rsid w:val="005E77E8"/>
    <w:rsid w:val="005F3608"/>
    <w:rsid w:val="0063189D"/>
    <w:rsid w:val="00651E3C"/>
    <w:rsid w:val="00673519"/>
    <w:rsid w:val="00683084"/>
    <w:rsid w:val="00693945"/>
    <w:rsid w:val="00703B81"/>
    <w:rsid w:val="007836DD"/>
    <w:rsid w:val="007D6EA6"/>
    <w:rsid w:val="007E3597"/>
    <w:rsid w:val="007F65EC"/>
    <w:rsid w:val="00814957"/>
    <w:rsid w:val="008152CA"/>
    <w:rsid w:val="00836A1D"/>
    <w:rsid w:val="008D003D"/>
    <w:rsid w:val="008D6C46"/>
    <w:rsid w:val="008E64C6"/>
    <w:rsid w:val="008F2510"/>
    <w:rsid w:val="008F2F5E"/>
    <w:rsid w:val="009256DF"/>
    <w:rsid w:val="00934B61"/>
    <w:rsid w:val="00990892"/>
    <w:rsid w:val="009A211E"/>
    <w:rsid w:val="009A4605"/>
    <w:rsid w:val="009C7136"/>
    <w:rsid w:val="009F775C"/>
    <w:rsid w:val="00A14660"/>
    <w:rsid w:val="00A1739D"/>
    <w:rsid w:val="00B23D80"/>
    <w:rsid w:val="00B742D6"/>
    <w:rsid w:val="00BC06A7"/>
    <w:rsid w:val="00BC612F"/>
    <w:rsid w:val="00BD0527"/>
    <w:rsid w:val="00BE46EF"/>
    <w:rsid w:val="00C26045"/>
    <w:rsid w:val="00C43E8D"/>
    <w:rsid w:val="00C53F80"/>
    <w:rsid w:val="00C7761A"/>
    <w:rsid w:val="00C9196A"/>
    <w:rsid w:val="00CA2195"/>
    <w:rsid w:val="00D3071D"/>
    <w:rsid w:val="00D46279"/>
    <w:rsid w:val="00D5546E"/>
    <w:rsid w:val="00DC7AF3"/>
    <w:rsid w:val="00E35436"/>
    <w:rsid w:val="00E57396"/>
    <w:rsid w:val="00EC3B29"/>
    <w:rsid w:val="00ED7455"/>
    <w:rsid w:val="00EF4744"/>
    <w:rsid w:val="00F22F10"/>
    <w:rsid w:val="00F5372A"/>
    <w:rsid w:val="00F64BA5"/>
    <w:rsid w:val="00F64BA7"/>
    <w:rsid w:val="00FB175F"/>
    <w:rsid w:val="00FD2B45"/>
    <w:rsid w:val="00FF47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97"/>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836A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196A"/>
    <w:rPr>
      <w:color w:val="0000FF"/>
      <w:u w:val="single"/>
    </w:rPr>
  </w:style>
  <w:style w:type="paragraph" w:customStyle="1" w:styleId="Default">
    <w:name w:val="Default"/>
    <w:basedOn w:val="Normal"/>
    <w:rsid w:val="00C9196A"/>
    <w:pPr>
      <w:autoSpaceDE w:val="0"/>
      <w:autoSpaceDN w:val="0"/>
    </w:pPr>
    <w:rPr>
      <w:rFonts w:ascii="Arial" w:eastAsiaTheme="minorHAnsi" w:hAnsi="Arial" w:cs="Arial"/>
      <w:color w:val="000000"/>
      <w:sz w:val="24"/>
      <w:szCs w:val="24"/>
      <w:lang w:eastAsia="en-GB"/>
    </w:rPr>
  </w:style>
  <w:style w:type="table" w:styleId="TableGrid">
    <w:name w:val="Table Grid"/>
    <w:basedOn w:val="TableNormal"/>
    <w:uiPriority w:val="59"/>
    <w:rsid w:val="003F4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06A7"/>
    <w:pPr>
      <w:spacing w:after="200" w:line="276" w:lineRule="auto"/>
      <w:ind w:left="720"/>
      <w:contextualSpacing/>
    </w:pPr>
  </w:style>
  <w:style w:type="character" w:customStyle="1" w:styleId="Heading1Char">
    <w:name w:val="Heading 1 Char"/>
    <w:basedOn w:val="DefaultParagraphFont"/>
    <w:link w:val="Heading1"/>
    <w:uiPriority w:val="9"/>
    <w:rsid w:val="00836A1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8D003D"/>
    <w:pPr>
      <w:tabs>
        <w:tab w:val="center" w:pos="4513"/>
        <w:tab w:val="right" w:pos="9026"/>
      </w:tabs>
    </w:pPr>
  </w:style>
  <w:style w:type="character" w:customStyle="1" w:styleId="HeaderChar">
    <w:name w:val="Header Char"/>
    <w:basedOn w:val="DefaultParagraphFont"/>
    <w:link w:val="Header"/>
    <w:uiPriority w:val="99"/>
    <w:semiHidden/>
    <w:rsid w:val="008D003D"/>
    <w:rPr>
      <w:rFonts w:ascii="Calibri" w:eastAsia="Calibri" w:hAnsi="Calibri" w:cs="Times New Roman"/>
    </w:rPr>
  </w:style>
  <w:style w:type="paragraph" w:styleId="Footer">
    <w:name w:val="footer"/>
    <w:basedOn w:val="Normal"/>
    <w:link w:val="FooterChar"/>
    <w:uiPriority w:val="99"/>
    <w:unhideWhenUsed/>
    <w:rsid w:val="008D003D"/>
    <w:pPr>
      <w:tabs>
        <w:tab w:val="center" w:pos="4513"/>
        <w:tab w:val="right" w:pos="9026"/>
      </w:tabs>
    </w:pPr>
  </w:style>
  <w:style w:type="character" w:customStyle="1" w:styleId="FooterChar">
    <w:name w:val="Footer Char"/>
    <w:basedOn w:val="DefaultParagraphFont"/>
    <w:link w:val="Footer"/>
    <w:uiPriority w:val="99"/>
    <w:rsid w:val="008D003D"/>
    <w:rPr>
      <w:rFonts w:ascii="Calibri" w:eastAsia="Calibri" w:hAnsi="Calibri" w:cs="Times New Roman"/>
    </w:rPr>
  </w:style>
  <w:style w:type="character" w:styleId="CommentReference">
    <w:name w:val="annotation reference"/>
    <w:basedOn w:val="DefaultParagraphFont"/>
    <w:uiPriority w:val="99"/>
    <w:semiHidden/>
    <w:unhideWhenUsed/>
    <w:rsid w:val="00C43E8D"/>
    <w:rPr>
      <w:sz w:val="16"/>
      <w:szCs w:val="16"/>
    </w:rPr>
  </w:style>
  <w:style w:type="paragraph" w:styleId="CommentText">
    <w:name w:val="annotation text"/>
    <w:basedOn w:val="Normal"/>
    <w:link w:val="CommentTextChar"/>
    <w:uiPriority w:val="99"/>
    <w:semiHidden/>
    <w:unhideWhenUsed/>
    <w:rsid w:val="00C43E8D"/>
    <w:rPr>
      <w:sz w:val="20"/>
      <w:szCs w:val="20"/>
    </w:rPr>
  </w:style>
  <w:style w:type="character" w:customStyle="1" w:styleId="CommentTextChar">
    <w:name w:val="Comment Text Char"/>
    <w:basedOn w:val="DefaultParagraphFont"/>
    <w:link w:val="CommentText"/>
    <w:uiPriority w:val="99"/>
    <w:semiHidden/>
    <w:rsid w:val="00C43E8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3E8D"/>
    <w:rPr>
      <w:b/>
      <w:bCs/>
    </w:rPr>
  </w:style>
  <w:style w:type="character" w:customStyle="1" w:styleId="CommentSubjectChar">
    <w:name w:val="Comment Subject Char"/>
    <w:basedOn w:val="CommentTextChar"/>
    <w:link w:val="CommentSubject"/>
    <w:uiPriority w:val="99"/>
    <w:semiHidden/>
    <w:rsid w:val="00C43E8D"/>
    <w:rPr>
      <w:b/>
      <w:bCs/>
    </w:rPr>
  </w:style>
  <w:style w:type="paragraph" w:styleId="BalloonText">
    <w:name w:val="Balloon Text"/>
    <w:basedOn w:val="Normal"/>
    <w:link w:val="BalloonTextChar"/>
    <w:uiPriority w:val="99"/>
    <w:semiHidden/>
    <w:unhideWhenUsed/>
    <w:rsid w:val="00C43E8D"/>
    <w:rPr>
      <w:rFonts w:ascii="Tahoma" w:hAnsi="Tahoma" w:cs="Tahoma"/>
      <w:sz w:val="16"/>
      <w:szCs w:val="16"/>
    </w:rPr>
  </w:style>
  <w:style w:type="character" w:customStyle="1" w:styleId="BalloonTextChar">
    <w:name w:val="Balloon Text Char"/>
    <w:basedOn w:val="DefaultParagraphFont"/>
    <w:link w:val="BalloonText"/>
    <w:uiPriority w:val="99"/>
    <w:semiHidden/>
    <w:rsid w:val="00C43E8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742146">
      <w:bodyDiv w:val="1"/>
      <w:marLeft w:val="0"/>
      <w:marRight w:val="0"/>
      <w:marTop w:val="0"/>
      <w:marBottom w:val="0"/>
      <w:divBdr>
        <w:top w:val="none" w:sz="0" w:space="0" w:color="auto"/>
        <w:left w:val="none" w:sz="0" w:space="0" w:color="auto"/>
        <w:bottom w:val="none" w:sz="0" w:space="0" w:color="auto"/>
        <w:right w:val="none" w:sz="0" w:space="0" w:color="auto"/>
      </w:divBdr>
    </w:div>
    <w:div w:id="712927442">
      <w:bodyDiv w:val="1"/>
      <w:marLeft w:val="0"/>
      <w:marRight w:val="0"/>
      <w:marTop w:val="0"/>
      <w:marBottom w:val="0"/>
      <w:divBdr>
        <w:top w:val="none" w:sz="0" w:space="0" w:color="auto"/>
        <w:left w:val="none" w:sz="0" w:space="0" w:color="auto"/>
        <w:bottom w:val="none" w:sz="0" w:space="0" w:color="auto"/>
        <w:right w:val="none" w:sz="0" w:space="0" w:color="auto"/>
      </w:divBdr>
    </w:div>
    <w:div w:id="960916590">
      <w:bodyDiv w:val="1"/>
      <w:marLeft w:val="0"/>
      <w:marRight w:val="0"/>
      <w:marTop w:val="0"/>
      <w:marBottom w:val="0"/>
      <w:divBdr>
        <w:top w:val="none" w:sz="0" w:space="0" w:color="auto"/>
        <w:left w:val="none" w:sz="0" w:space="0" w:color="auto"/>
        <w:bottom w:val="none" w:sz="0" w:space="0" w:color="auto"/>
        <w:right w:val="none" w:sz="0" w:space="0" w:color="auto"/>
      </w:divBdr>
    </w:div>
    <w:div w:id="15011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tkhandav</dc:creator>
  <cp:keywords/>
  <dc:description/>
  <cp:lastModifiedBy>tkhandav</cp:lastModifiedBy>
  <cp:revision>7</cp:revision>
  <dcterms:created xsi:type="dcterms:W3CDTF">2012-12-10T13:01:00Z</dcterms:created>
  <dcterms:modified xsi:type="dcterms:W3CDTF">2012-12-11T17:33:00Z</dcterms:modified>
</cp:coreProperties>
</file>