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0B" w:rsidRDefault="00E5070B" w:rsidP="00CC1281">
      <w:pPr>
        <w:pStyle w:val="Subtitle"/>
        <w:spacing w:after="0" w:line="23" w:lineRule="atLeast"/>
      </w:pPr>
      <w:r>
        <w:rPr>
          <w:noProof/>
          <w:lang w:eastAsia="en-GB"/>
        </w:rPr>
        <w:drawing>
          <wp:inline distT="0" distB="0" distL="0" distR="0" wp14:anchorId="62521E29" wp14:editId="035BF020">
            <wp:extent cx="2514600" cy="5301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artnership banner.png"/>
                    <pic:cNvPicPr/>
                  </pic:nvPicPr>
                  <pic:blipFill>
                    <a:blip r:embed="rId6">
                      <a:extLst>
                        <a:ext uri="{28A0092B-C50C-407E-A947-70E740481C1C}">
                          <a14:useLocalDpi xmlns:a14="http://schemas.microsoft.com/office/drawing/2010/main" val="0"/>
                        </a:ext>
                      </a:extLst>
                    </a:blip>
                    <a:stretch>
                      <a:fillRect/>
                    </a:stretch>
                  </pic:blipFill>
                  <pic:spPr>
                    <a:xfrm>
                      <a:off x="0" y="0"/>
                      <a:ext cx="2516189" cy="530448"/>
                    </a:xfrm>
                    <a:prstGeom prst="rect">
                      <a:avLst/>
                    </a:prstGeom>
                  </pic:spPr>
                </pic:pic>
              </a:graphicData>
            </a:graphic>
          </wp:inline>
        </w:drawing>
      </w:r>
    </w:p>
    <w:p w:rsidR="006A77A1" w:rsidRDefault="00473160" w:rsidP="00CC1281">
      <w:pPr>
        <w:tabs>
          <w:tab w:val="left" w:pos="3909"/>
        </w:tabs>
        <w:spacing w:after="0" w:line="23" w:lineRule="atLeast"/>
        <w:jc w:val="center"/>
        <w:rPr>
          <w:b/>
        </w:rPr>
      </w:pPr>
      <w:r>
        <w:rPr>
          <w:b/>
        </w:rPr>
        <w:t>Minutes</w:t>
      </w:r>
    </w:p>
    <w:p w:rsidR="006A77A1" w:rsidRDefault="006A77A1" w:rsidP="00CC1281">
      <w:pPr>
        <w:tabs>
          <w:tab w:val="left" w:pos="3909"/>
        </w:tabs>
        <w:spacing w:after="0" w:line="23" w:lineRule="atLeast"/>
        <w:jc w:val="center"/>
        <w:rPr>
          <w:b/>
        </w:rPr>
      </w:pPr>
      <w:r>
        <w:rPr>
          <w:b/>
        </w:rPr>
        <w:t>Initial Teacher Education Strategic Imp</w:t>
      </w:r>
      <w:r w:rsidR="00A762C5">
        <w:rPr>
          <w:b/>
        </w:rPr>
        <w:t>lementation</w:t>
      </w:r>
      <w:r>
        <w:rPr>
          <w:b/>
        </w:rPr>
        <w:t xml:space="preserve"> and Planning Group</w:t>
      </w:r>
    </w:p>
    <w:p w:rsidR="0016606E" w:rsidRDefault="0016606E" w:rsidP="0039400D">
      <w:pPr>
        <w:tabs>
          <w:tab w:val="left" w:pos="3909"/>
        </w:tabs>
        <w:spacing w:after="0" w:line="23" w:lineRule="atLeast"/>
        <w:jc w:val="center"/>
        <w:rPr>
          <w:b/>
        </w:rPr>
      </w:pPr>
      <w:r>
        <w:rPr>
          <w:b/>
        </w:rPr>
        <w:t>1 March 2022</w:t>
      </w:r>
    </w:p>
    <w:tbl>
      <w:tblPr>
        <w:tblStyle w:val="TableGrid"/>
        <w:tblpPr w:leftFromText="180" w:rightFromText="180" w:vertAnchor="text" w:horzAnchor="margin" w:tblpXSpec="center" w:tblpY="423"/>
        <w:tblW w:w="11619" w:type="dxa"/>
        <w:tblLayout w:type="fixed"/>
        <w:tblLook w:val="04A0" w:firstRow="1" w:lastRow="0" w:firstColumn="1" w:lastColumn="0" w:noHBand="0" w:noVBand="1"/>
      </w:tblPr>
      <w:tblGrid>
        <w:gridCol w:w="1419"/>
        <w:gridCol w:w="10200"/>
      </w:tblGrid>
      <w:tr w:rsidR="00473160" w:rsidTr="00473160">
        <w:trPr>
          <w:trHeight w:val="2255"/>
        </w:trPr>
        <w:tc>
          <w:tcPr>
            <w:tcW w:w="1419" w:type="dxa"/>
          </w:tcPr>
          <w:p w:rsidR="00473160" w:rsidRPr="0014296D" w:rsidRDefault="00473160" w:rsidP="00CC1281">
            <w:pPr>
              <w:spacing w:after="0" w:line="23" w:lineRule="atLeast"/>
              <w:rPr>
                <w:rFonts w:cstheme="minorHAnsi"/>
                <w:sz w:val="20"/>
                <w:szCs w:val="20"/>
              </w:rPr>
            </w:pPr>
            <w:r w:rsidRPr="0014296D">
              <w:rPr>
                <w:rFonts w:cstheme="minorHAnsi"/>
                <w:sz w:val="20"/>
                <w:szCs w:val="20"/>
              </w:rPr>
              <w:t>1</w:t>
            </w:r>
          </w:p>
        </w:tc>
        <w:tc>
          <w:tcPr>
            <w:tcW w:w="10200" w:type="dxa"/>
          </w:tcPr>
          <w:p w:rsidR="00473160" w:rsidRPr="00CC1281" w:rsidRDefault="00473160" w:rsidP="00CC1281">
            <w:pPr>
              <w:spacing w:after="0" w:line="23" w:lineRule="atLeast"/>
              <w:rPr>
                <w:rFonts w:cstheme="minorHAnsi"/>
                <w:b/>
                <w:sz w:val="20"/>
                <w:szCs w:val="20"/>
              </w:rPr>
            </w:pPr>
            <w:r w:rsidRPr="00CC1281">
              <w:rPr>
                <w:rFonts w:cstheme="minorHAnsi"/>
                <w:b/>
                <w:sz w:val="20"/>
                <w:szCs w:val="20"/>
              </w:rPr>
              <w:t>Welcome and Introductions</w:t>
            </w:r>
          </w:p>
          <w:p w:rsidR="00473160" w:rsidRPr="0014296D" w:rsidRDefault="00473160" w:rsidP="00CC1281">
            <w:pPr>
              <w:spacing w:after="0" w:line="23" w:lineRule="atLeast"/>
              <w:rPr>
                <w:rFonts w:cstheme="minorHAnsi"/>
                <w:sz w:val="20"/>
                <w:szCs w:val="20"/>
              </w:rPr>
            </w:pPr>
          </w:p>
          <w:p w:rsidR="00473160" w:rsidRDefault="00473160" w:rsidP="00CC1281">
            <w:pPr>
              <w:spacing w:after="0" w:line="23" w:lineRule="atLeast"/>
              <w:rPr>
                <w:rFonts w:cstheme="minorHAnsi"/>
                <w:sz w:val="20"/>
                <w:szCs w:val="20"/>
              </w:rPr>
            </w:pPr>
            <w:r w:rsidRPr="0014296D">
              <w:rPr>
                <w:rFonts w:cstheme="minorHAnsi"/>
                <w:sz w:val="20"/>
                <w:szCs w:val="20"/>
              </w:rPr>
              <w:t>Attending: Jon Vague, Andrea Fossey, Ian Baker, Ruth Flanagan, Lisa Fripp, Corinne Greaves</w:t>
            </w:r>
            <w:r>
              <w:rPr>
                <w:rFonts w:cstheme="minorHAnsi"/>
                <w:sz w:val="20"/>
                <w:szCs w:val="20"/>
              </w:rPr>
              <w:t xml:space="preserve"> (CG)</w:t>
            </w:r>
            <w:r w:rsidRPr="0014296D">
              <w:rPr>
                <w:rFonts w:cstheme="minorHAnsi"/>
                <w:sz w:val="20"/>
                <w:szCs w:val="20"/>
              </w:rPr>
              <w:t>, Lindsay Hetherington</w:t>
            </w:r>
            <w:r>
              <w:rPr>
                <w:rFonts w:cstheme="minorHAnsi"/>
                <w:sz w:val="20"/>
                <w:szCs w:val="20"/>
              </w:rPr>
              <w:t xml:space="preserve"> (LH)</w:t>
            </w:r>
            <w:r w:rsidRPr="0014296D">
              <w:rPr>
                <w:rFonts w:cstheme="minorHAnsi"/>
                <w:sz w:val="20"/>
                <w:szCs w:val="20"/>
              </w:rPr>
              <w:t>, Jane May, Karen Bidwell, Heidi Long, Sharon Morgan, Nicola Storey, Tom Ralph, Sally Huxen, Sonya Herbert, Teresa Lawrance, Sara Venner, Dinah Warren, Annabel Watson, Harriet White, Gini Williams, Anthony Wilson, Neil Vincent, Dave Evans, Aimee Mills</w:t>
            </w:r>
          </w:p>
          <w:p w:rsidR="00473160" w:rsidRPr="0014296D" w:rsidRDefault="00473160" w:rsidP="00CC1281">
            <w:pPr>
              <w:spacing w:after="0" w:line="23" w:lineRule="atLeast"/>
              <w:rPr>
                <w:rFonts w:cstheme="minorHAnsi"/>
                <w:sz w:val="20"/>
                <w:szCs w:val="20"/>
              </w:rPr>
            </w:pPr>
          </w:p>
          <w:p w:rsidR="00473160" w:rsidRPr="0014296D" w:rsidRDefault="00473160" w:rsidP="00CC1281">
            <w:pPr>
              <w:spacing w:after="0" w:line="23" w:lineRule="atLeast"/>
              <w:rPr>
                <w:rFonts w:cstheme="minorHAnsi"/>
                <w:sz w:val="20"/>
                <w:szCs w:val="20"/>
              </w:rPr>
            </w:pPr>
            <w:proofErr w:type="spellStart"/>
            <w:r w:rsidRPr="0014296D">
              <w:rPr>
                <w:rFonts w:cstheme="minorHAnsi"/>
                <w:sz w:val="20"/>
                <w:szCs w:val="20"/>
              </w:rPr>
              <w:t>Apols</w:t>
            </w:r>
            <w:proofErr w:type="spellEnd"/>
            <w:r w:rsidRPr="0014296D">
              <w:rPr>
                <w:rFonts w:cstheme="minorHAnsi"/>
                <w:sz w:val="20"/>
                <w:szCs w:val="20"/>
              </w:rPr>
              <w:t>: George Tarling, Simon Green, Sara Jacobs, Steve Morton, Sally Herbert</w:t>
            </w:r>
          </w:p>
        </w:tc>
      </w:tr>
      <w:tr w:rsidR="00473160" w:rsidTr="00473160">
        <w:trPr>
          <w:trHeight w:val="528"/>
        </w:trPr>
        <w:tc>
          <w:tcPr>
            <w:tcW w:w="1419" w:type="dxa"/>
          </w:tcPr>
          <w:p w:rsidR="00473160" w:rsidRPr="0014296D" w:rsidRDefault="00473160" w:rsidP="00CC1281">
            <w:pPr>
              <w:tabs>
                <w:tab w:val="left" w:pos="3909"/>
              </w:tabs>
              <w:spacing w:after="0" w:line="23" w:lineRule="atLeast"/>
              <w:rPr>
                <w:rFonts w:cstheme="minorHAnsi"/>
                <w:sz w:val="20"/>
                <w:szCs w:val="20"/>
              </w:rPr>
            </w:pPr>
            <w:r w:rsidRPr="0014296D">
              <w:rPr>
                <w:rFonts w:cstheme="minorHAnsi"/>
                <w:sz w:val="20"/>
                <w:szCs w:val="20"/>
              </w:rPr>
              <w:t>2</w:t>
            </w:r>
          </w:p>
        </w:tc>
        <w:tc>
          <w:tcPr>
            <w:tcW w:w="10200" w:type="dxa"/>
          </w:tcPr>
          <w:p w:rsidR="00473160" w:rsidRPr="00CC1281" w:rsidRDefault="00473160" w:rsidP="00CC1281">
            <w:pPr>
              <w:tabs>
                <w:tab w:val="left" w:pos="3909"/>
              </w:tabs>
              <w:spacing w:after="0" w:line="23" w:lineRule="atLeast"/>
              <w:rPr>
                <w:rFonts w:cstheme="minorHAnsi"/>
                <w:b/>
                <w:sz w:val="20"/>
                <w:szCs w:val="20"/>
              </w:rPr>
            </w:pPr>
            <w:r w:rsidRPr="00CC1281">
              <w:rPr>
                <w:rFonts w:cstheme="minorHAnsi"/>
                <w:b/>
                <w:sz w:val="20"/>
                <w:szCs w:val="20"/>
              </w:rPr>
              <w:t>Minutes of 2021 SIPG and matters arising</w:t>
            </w:r>
          </w:p>
          <w:p w:rsidR="00473160" w:rsidRPr="0014296D" w:rsidRDefault="00473160" w:rsidP="00CC1281">
            <w:pPr>
              <w:tabs>
                <w:tab w:val="left" w:pos="3909"/>
              </w:tabs>
              <w:spacing w:after="0" w:line="23" w:lineRule="atLeast"/>
              <w:rPr>
                <w:rFonts w:cstheme="minorHAnsi"/>
                <w:sz w:val="20"/>
                <w:szCs w:val="20"/>
              </w:rPr>
            </w:pPr>
          </w:p>
          <w:p w:rsidR="00473160" w:rsidRPr="0014296D" w:rsidRDefault="00473160" w:rsidP="00CC1281">
            <w:pPr>
              <w:tabs>
                <w:tab w:val="left" w:pos="3909"/>
              </w:tabs>
              <w:spacing w:after="0" w:line="23" w:lineRule="atLeast"/>
              <w:rPr>
                <w:rFonts w:cstheme="minorHAnsi"/>
                <w:sz w:val="20"/>
                <w:szCs w:val="20"/>
              </w:rPr>
            </w:pPr>
            <w:r>
              <w:rPr>
                <w:rFonts w:cstheme="minorHAnsi"/>
                <w:sz w:val="20"/>
                <w:szCs w:val="20"/>
              </w:rPr>
              <w:t>Agreed and completed</w:t>
            </w:r>
          </w:p>
        </w:tc>
      </w:tr>
      <w:tr w:rsidR="00473160" w:rsidTr="00473160">
        <w:trPr>
          <w:trHeight w:val="528"/>
        </w:trPr>
        <w:tc>
          <w:tcPr>
            <w:tcW w:w="1419" w:type="dxa"/>
          </w:tcPr>
          <w:p w:rsidR="00473160" w:rsidRPr="0014296D" w:rsidRDefault="00473160" w:rsidP="00CC1281">
            <w:pPr>
              <w:tabs>
                <w:tab w:val="left" w:pos="3909"/>
              </w:tabs>
              <w:spacing w:after="0" w:line="23" w:lineRule="atLeast"/>
              <w:rPr>
                <w:rFonts w:cstheme="minorHAnsi"/>
                <w:sz w:val="20"/>
                <w:szCs w:val="20"/>
              </w:rPr>
            </w:pPr>
            <w:r w:rsidRPr="0014296D">
              <w:rPr>
                <w:rFonts w:cstheme="minorHAnsi"/>
                <w:sz w:val="20"/>
                <w:szCs w:val="20"/>
              </w:rPr>
              <w:t>3</w:t>
            </w:r>
          </w:p>
        </w:tc>
        <w:tc>
          <w:tcPr>
            <w:tcW w:w="10200" w:type="dxa"/>
          </w:tcPr>
          <w:p w:rsidR="00473160" w:rsidRDefault="00473160" w:rsidP="00CC1281">
            <w:pPr>
              <w:tabs>
                <w:tab w:val="left" w:pos="3909"/>
              </w:tabs>
              <w:spacing w:after="0" w:line="23" w:lineRule="atLeast"/>
              <w:rPr>
                <w:rFonts w:cstheme="minorHAnsi"/>
                <w:b/>
                <w:sz w:val="20"/>
                <w:szCs w:val="20"/>
              </w:rPr>
            </w:pPr>
            <w:r w:rsidRPr="00CC1281">
              <w:rPr>
                <w:rFonts w:cstheme="minorHAnsi"/>
                <w:b/>
                <w:sz w:val="20"/>
                <w:szCs w:val="20"/>
              </w:rPr>
              <w:t>Agree Terms of Reference</w:t>
            </w:r>
          </w:p>
          <w:p w:rsidR="00473160" w:rsidRPr="00CC1281" w:rsidRDefault="00473160" w:rsidP="00CC1281">
            <w:pPr>
              <w:tabs>
                <w:tab w:val="left" w:pos="3909"/>
              </w:tabs>
              <w:spacing w:after="0" w:line="23" w:lineRule="atLeast"/>
              <w:rPr>
                <w:rFonts w:cstheme="minorHAnsi"/>
                <w:b/>
                <w:sz w:val="20"/>
                <w:szCs w:val="20"/>
              </w:rPr>
            </w:pPr>
          </w:p>
          <w:p w:rsidR="00473160" w:rsidRPr="0014296D" w:rsidRDefault="00473160" w:rsidP="00CC1281">
            <w:pPr>
              <w:tabs>
                <w:tab w:val="left" w:pos="3909"/>
              </w:tabs>
              <w:spacing w:after="0" w:line="23" w:lineRule="atLeast"/>
              <w:rPr>
                <w:rFonts w:cstheme="minorHAnsi"/>
                <w:sz w:val="20"/>
                <w:szCs w:val="20"/>
              </w:rPr>
            </w:pPr>
            <w:r w:rsidRPr="0014296D">
              <w:rPr>
                <w:rFonts w:cstheme="minorHAnsi"/>
                <w:sz w:val="20"/>
                <w:szCs w:val="20"/>
              </w:rPr>
              <w:t>CG went through terms o</w:t>
            </w:r>
            <w:r>
              <w:rPr>
                <w:rFonts w:cstheme="minorHAnsi"/>
                <w:sz w:val="20"/>
                <w:szCs w:val="20"/>
              </w:rPr>
              <w:t>f reference, agreed and adopted</w:t>
            </w:r>
          </w:p>
        </w:tc>
      </w:tr>
      <w:tr w:rsidR="00473160" w:rsidTr="00473160">
        <w:trPr>
          <w:trHeight w:val="528"/>
        </w:trPr>
        <w:tc>
          <w:tcPr>
            <w:tcW w:w="1419" w:type="dxa"/>
          </w:tcPr>
          <w:p w:rsidR="00473160" w:rsidRPr="0014296D" w:rsidRDefault="00473160" w:rsidP="00CC1281">
            <w:pPr>
              <w:tabs>
                <w:tab w:val="left" w:pos="3909"/>
              </w:tabs>
              <w:spacing w:after="0" w:line="23" w:lineRule="atLeast"/>
              <w:rPr>
                <w:rFonts w:cstheme="minorHAnsi"/>
                <w:sz w:val="20"/>
                <w:szCs w:val="20"/>
              </w:rPr>
            </w:pPr>
            <w:r w:rsidRPr="0014296D">
              <w:rPr>
                <w:rFonts w:cstheme="minorHAnsi"/>
                <w:sz w:val="20"/>
                <w:szCs w:val="20"/>
              </w:rPr>
              <w:t>4</w:t>
            </w:r>
          </w:p>
        </w:tc>
        <w:tc>
          <w:tcPr>
            <w:tcW w:w="10200" w:type="dxa"/>
          </w:tcPr>
          <w:p w:rsidR="00473160" w:rsidRPr="0076269C" w:rsidRDefault="00473160" w:rsidP="00CC1281">
            <w:pPr>
              <w:tabs>
                <w:tab w:val="left" w:pos="3909"/>
              </w:tabs>
              <w:spacing w:after="0" w:line="23" w:lineRule="atLeast"/>
              <w:rPr>
                <w:rFonts w:cstheme="minorHAnsi"/>
                <w:b/>
                <w:sz w:val="20"/>
                <w:szCs w:val="20"/>
              </w:rPr>
            </w:pPr>
            <w:r w:rsidRPr="0076269C">
              <w:rPr>
                <w:rFonts w:cstheme="minorHAnsi"/>
                <w:b/>
                <w:sz w:val="20"/>
                <w:szCs w:val="20"/>
              </w:rPr>
              <w:t>Review of Improvement Plan</w:t>
            </w:r>
          </w:p>
          <w:p w:rsidR="00473160" w:rsidRPr="0076269C" w:rsidRDefault="00473160" w:rsidP="00CC1281">
            <w:pPr>
              <w:tabs>
                <w:tab w:val="left" w:pos="3909"/>
              </w:tabs>
              <w:spacing w:after="0" w:line="23" w:lineRule="atLeast"/>
              <w:rPr>
                <w:rFonts w:cstheme="minorHAnsi"/>
                <w:sz w:val="20"/>
                <w:szCs w:val="20"/>
              </w:rPr>
            </w:pPr>
          </w:p>
          <w:p w:rsidR="00473160" w:rsidRPr="0076269C" w:rsidRDefault="00473160" w:rsidP="00CC1281">
            <w:pPr>
              <w:tabs>
                <w:tab w:val="left" w:pos="3909"/>
              </w:tabs>
              <w:spacing w:after="0" w:line="23" w:lineRule="atLeast"/>
              <w:rPr>
                <w:rFonts w:cstheme="minorHAnsi"/>
                <w:sz w:val="20"/>
                <w:szCs w:val="20"/>
              </w:rPr>
            </w:pPr>
            <w:r w:rsidRPr="0076269C">
              <w:rPr>
                <w:rFonts w:cstheme="minorHAnsi"/>
                <w:sz w:val="20"/>
                <w:szCs w:val="20"/>
              </w:rPr>
              <w:t>LH highlighted key points:</w:t>
            </w:r>
          </w:p>
          <w:p w:rsidR="00473160" w:rsidRPr="0076269C" w:rsidRDefault="00473160" w:rsidP="005068DD">
            <w:pPr>
              <w:pStyle w:val="ListParagraph"/>
              <w:numPr>
                <w:ilvl w:val="0"/>
                <w:numId w:val="7"/>
              </w:numPr>
              <w:tabs>
                <w:tab w:val="left" w:pos="3909"/>
              </w:tabs>
              <w:spacing w:after="0" w:line="23" w:lineRule="atLeast"/>
              <w:rPr>
                <w:rFonts w:cstheme="minorHAnsi"/>
                <w:sz w:val="20"/>
                <w:szCs w:val="20"/>
              </w:rPr>
            </w:pPr>
            <w:r w:rsidRPr="0076269C">
              <w:rPr>
                <w:rStyle w:val="normaltextrun"/>
                <w:rFonts w:ascii="Calibri" w:hAnsi="Calibri" w:cs="Calibri"/>
                <w:b/>
                <w:bCs/>
                <w:color w:val="000000"/>
                <w:sz w:val="20"/>
                <w:szCs w:val="20"/>
                <w:shd w:val="clear" w:color="auto" w:fill="FFFFFF"/>
              </w:rPr>
              <w:t>Responding to Market Review/reaccreditation</w:t>
            </w:r>
            <w:r w:rsidRPr="0076269C">
              <w:rPr>
                <w:rStyle w:val="eop"/>
                <w:rFonts w:ascii="Calibri" w:hAnsi="Calibri" w:cs="Calibri"/>
                <w:color w:val="000000"/>
                <w:sz w:val="20"/>
                <w:szCs w:val="20"/>
                <w:shd w:val="clear" w:color="auto" w:fill="FFFFFF"/>
              </w:rPr>
              <w:t xml:space="preserve"> - </w:t>
            </w:r>
            <w:r w:rsidRPr="0076269C">
              <w:rPr>
                <w:rFonts w:cstheme="minorHAnsi"/>
                <w:sz w:val="20"/>
                <w:szCs w:val="20"/>
              </w:rPr>
              <w:t>Submission of ITT Reaccreditation bid completed</w:t>
            </w:r>
          </w:p>
          <w:p w:rsidR="00473160" w:rsidRPr="0076269C" w:rsidRDefault="00473160" w:rsidP="00734405">
            <w:pPr>
              <w:pStyle w:val="ListParagraph"/>
              <w:numPr>
                <w:ilvl w:val="0"/>
                <w:numId w:val="7"/>
              </w:numPr>
              <w:tabs>
                <w:tab w:val="left" w:pos="3909"/>
              </w:tabs>
              <w:spacing w:after="0" w:line="23" w:lineRule="atLeast"/>
              <w:rPr>
                <w:rFonts w:cstheme="minorHAnsi"/>
                <w:sz w:val="20"/>
                <w:szCs w:val="20"/>
              </w:rPr>
            </w:pPr>
            <w:r w:rsidRPr="0076269C">
              <w:rPr>
                <w:rStyle w:val="normaltextrun"/>
                <w:rFonts w:ascii="Calibri" w:hAnsi="Calibri" w:cs="Calibri"/>
                <w:b/>
                <w:bCs/>
                <w:color w:val="000000"/>
                <w:sz w:val="20"/>
                <w:szCs w:val="20"/>
                <w:shd w:val="clear" w:color="auto" w:fill="FFFFFF"/>
              </w:rPr>
              <w:t xml:space="preserve">Cross-Programme Quality Assurance processes with respect to curriculum and assessment - </w:t>
            </w:r>
            <w:r w:rsidRPr="0076269C">
              <w:rPr>
                <w:rFonts w:cstheme="minorHAnsi"/>
                <w:sz w:val="20"/>
                <w:szCs w:val="20"/>
              </w:rPr>
              <w:t>Looking into reasons for disparity of outcomes between programmes, especially M level</w:t>
            </w:r>
          </w:p>
          <w:p w:rsidR="00473160" w:rsidRPr="0076269C" w:rsidRDefault="00473160" w:rsidP="00734405">
            <w:pPr>
              <w:pStyle w:val="ListParagraph"/>
              <w:numPr>
                <w:ilvl w:val="0"/>
                <w:numId w:val="7"/>
              </w:numPr>
              <w:tabs>
                <w:tab w:val="left" w:pos="3909"/>
              </w:tabs>
              <w:spacing w:after="0" w:line="23" w:lineRule="atLeast"/>
              <w:rPr>
                <w:rStyle w:val="eop"/>
                <w:rFonts w:cstheme="minorHAnsi"/>
                <w:sz w:val="20"/>
                <w:szCs w:val="20"/>
              </w:rPr>
            </w:pPr>
            <w:r w:rsidRPr="0076269C">
              <w:rPr>
                <w:rStyle w:val="normaltextrun"/>
                <w:rFonts w:ascii="Calibri" w:hAnsi="Calibri" w:cs="Calibri"/>
                <w:b/>
                <w:bCs/>
                <w:color w:val="000000"/>
                <w:sz w:val="20"/>
                <w:szCs w:val="20"/>
                <w:shd w:val="clear" w:color="auto" w:fill="FFFFFF"/>
              </w:rPr>
              <w:t>Strengthening mentor training</w:t>
            </w:r>
          </w:p>
          <w:p w:rsidR="00473160" w:rsidRPr="0076269C" w:rsidRDefault="00473160" w:rsidP="00464E0D">
            <w:pPr>
              <w:pStyle w:val="ListParagraph"/>
              <w:numPr>
                <w:ilvl w:val="0"/>
                <w:numId w:val="7"/>
              </w:numPr>
              <w:tabs>
                <w:tab w:val="left" w:pos="3909"/>
              </w:tabs>
              <w:spacing w:after="0" w:line="23" w:lineRule="atLeast"/>
              <w:rPr>
                <w:rFonts w:cstheme="minorHAnsi"/>
                <w:sz w:val="20"/>
                <w:szCs w:val="20"/>
              </w:rPr>
            </w:pPr>
            <w:r w:rsidRPr="0076269C">
              <w:rPr>
                <w:rStyle w:val="normaltextrun"/>
                <w:rFonts w:ascii="Calibri" w:hAnsi="Calibri" w:cs="Calibri"/>
                <w:b/>
                <w:bCs/>
                <w:color w:val="000000"/>
                <w:sz w:val="20"/>
                <w:szCs w:val="20"/>
                <w:shd w:val="clear" w:color="auto" w:fill="FFFFFF"/>
              </w:rPr>
              <w:t>Employability support</w:t>
            </w:r>
            <w:r w:rsidRPr="0076269C">
              <w:rPr>
                <w:rStyle w:val="eop"/>
                <w:rFonts w:ascii="Calibri" w:hAnsi="Calibri" w:cs="Calibri"/>
                <w:color w:val="000000"/>
                <w:sz w:val="20"/>
                <w:szCs w:val="20"/>
                <w:shd w:val="clear" w:color="auto" w:fill="FFFFFF"/>
              </w:rPr>
              <w:t> </w:t>
            </w:r>
            <w:r w:rsidRPr="0076269C">
              <w:rPr>
                <w:rFonts w:cstheme="minorHAnsi"/>
                <w:sz w:val="20"/>
                <w:szCs w:val="20"/>
              </w:rPr>
              <w:t xml:space="preserve"> - Working with Student Employability and Academic Success to share best practice and develop support for trainees</w:t>
            </w:r>
          </w:p>
          <w:p w:rsidR="00473160" w:rsidRPr="0076269C" w:rsidRDefault="00473160" w:rsidP="00CC1281">
            <w:pPr>
              <w:pStyle w:val="ListParagraph"/>
              <w:numPr>
                <w:ilvl w:val="0"/>
                <w:numId w:val="7"/>
              </w:numPr>
              <w:tabs>
                <w:tab w:val="left" w:pos="3909"/>
              </w:tabs>
              <w:spacing w:after="0" w:line="23" w:lineRule="atLeast"/>
              <w:rPr>
                <w:rStyle w:val="eop"/>
                <w:rFonts w:cstheme="minorHAnsi"/>
                <w:sz w:val="20"/>
                <w:szCs w:val="20"/>
              </w:rPr>
            </w:pPr>
            <w:r>
              <w:rPr>
                <w:rStyle w:val="normaltextrun"/>
                <w:rFonts w:ascii="Calibri" w:hAnsi="Calibri" w:cs="Calibri"/>
                <w:b/>
                <w:bCs/>
                <w:color w:val="000000"/>
                <w:sz w:val="20"/>
                <w:szCs w:val="20"/>
                <w:shd w:val="clear" w:color="auto" w:fill="FFFFFF"/>
              </w:rPr>
              <w:t>E-</w:t>
            </w:r>
            <w:r w:rsidRPr="0076269C">
              <w:rPr>
                <w:rStyle w:val="normaltextrun"/>
                <w:rFonts w:ascii="Calibri" w:hAnsi="Calibri" w:cs="Calibri"/>
                <w:b/>
                <w:bCs/>
                <w:color w:val="000000"/>
                <w:sz w:val="20"/>
                <w:szCs w:val="20"/>
                <w:shd w:val="clear" w:color="auto" w:fill="FFFFFF"/>
              </w:rPr>
              <w:t>Portfolio</w:t>
            </w:r>
            <w:r>
              <w:rPr>
                <w:rStyle w:val="normaltextrun"/>
                <w:rFonts w:ascii="Calibri" w:hAnsi="Calibri" w:cs="Calibri"/>
                <w:b/>
                <w:bCs/>
                <w:color w:val="000000"/>
                <w:sz w:val="20"/>
                <w:szCs w:val="20"/>
                <w:shd w:val="clear" w:color="auto" w:fill="FFFFFF"/>
              </w:rPr>
              <w:t xml:space="preserve"> (IDP)</w:t>
            </w:r>
            <w:r w:rsidRPr="0076269C">
              <w:rPr>
                <w:rStyle w:val="eop"/>
                <w:rFonts w:ascii="Calibri" w:hAnsi="Calibri" w:cs="Calibri"/>
                <w:color w:val="000000"/>
                <w:sz w:val="20"/>
                <w:szCs w:val="20"/>
                <w:shd w:val="clear" w:color="auto" w:fill="FFFFFF"/>
              </w:rPr>
              <w:t> – in place as pilot for 2021/22 with ongoing review and development</w:t>
            </w:r>
          </w:p>
          <w:p w:rsidR="00473160" w:rsidRPr="0076269C" w:rsidRDefault="00473160" w:rsidP="00CC1281">
            <w:pPr>
              <w:pStyle w:val="ListParagraph"/>
              <w:numPr>
                <w:ilvl w:val="0"/>
                <w:numId w:val="7"/>
              </w:numPr>
              <w:tabs>
                <w:tab w:val="left" w:pos="3909"/>
              </w:tabs>
              <w:spacing w:after="0" w:line="23" w:lineRule="atLeast"/>
              <w:rPr>
                <w:rStyle w:val="eop"/>
                <w:rFonts w:cstheme="minorHAnsi"/>
                <w:sz w:val="20"/>
                <w:szCs w:val="20"/>
              </w:rPr>
            </w:pPr>
            <w:r w:rsidRPr="0076269C">
              <w:rPr>
                <w:rStyle w:val="normaltextrun"/>
                <w:rFonts w:ascii="Calibri" w:hAnsi="Calibri" w:cs="Calibri"/>
                <w:b/>
                <w:bCs/>
                <w:color w:val="000000"/>
                <w:sz w:val="20"/>
                <w:szCs w:val="20"/>
                <w:shd w:val="clear" w:color="auto" w:fill="FFFFFF"/>
              </w:rPr>
              <w:t xml:space="preserve">Review of Exeter Model training tools to ensure fit for purpose for </w:t>
            </w:r>
            <w:r>
              <w:rPr>
                <w:rStyle w:val="normaltextrun"/>
                <w:rFonts w:ascii="Calibri" w:hAnsi="Calibri" w:cs="Calibri"/>
                <w:b/>
                <w:bCs/>
                <w:color w:val="000000"/>
                <w:sz w:val="20"/>
                <w:szCs w:val="20"/>
                <w:shd w:val="clear" w:color="auto" w:fill="FFFFFF"/>
              </w:rPr>
              <w:t>E-P</w:t>
            </w:r>
            <w:r w:rsidRPr="0076269C">
              <w:rPr>
                <w:rStyle w:val="normaltextrun"/>
                <w:rFonts w:ascii="Calibri" w:hAnsi="Calibri" w:cs="Calibri"/>
                <w:b/>
                <w:bCs/>
                <w:color w:val="000000"/>
                <w:sz w:val="20"/>
                <w:szCs w:val="20"/>
                <w:shd w:val="clear" w:color="auto" w:fill="FFFFFF"/>
              </w:rPr>
              <w:t>ortfolio and updated ITE frameworks (CCF, Ofsted, ECF)</w:t>
            </w:r>
            <w:r w:rsidRPr="0076269C">
              <w:rPr>
                <w:rStyle w:val="eop"/>
                <w:rFonts w:ascii="Calibri" w:hAnsi="Calibri" w:cs="Calibri"/>
                <w:color w:val="000000"/>
                <w:sz w:val="20"/>
                <w:szCs w:val="20"/>
                <w:shd w:val="clear" w:color="auto" w:fill="FFFFFF"/>
              </w:rPr>
              <w:t> </w:t>
            </w:r>
          </w:p>
          <w:p w:rsidR="00473160" w:rsidRPr="0076269C" w:rsidRDefault="00473160" w:rsidP="00CC1281">
            <w:pPr>
              <w:pStyle w:val="ListParagraph"/>
              <w:numPr>
                <w:ilvl w:val="0"/>
                <w:numId w:val="7"/>
              </w:numPr>
              <w:tabs>
                <w:tab w:val="left" w:pos="3909"/>
              </w:tabs>
              <w:spacing w:after="0" w:line="23" w:lineRule="atLeast"/>
              <w:rPr>
                <w:rFonts w:cstheme="minorHAnsi"/>
                <w:sz w:val="20"/>
                <w:szCs w:val="20"/>
              </w:rPr>
            </w:pPr>
            <w:r w:rsidRPr="0076269C">
              <w:rPr>
                <w:rStyle w:val="normaltextrun"/>
                <w:rFonts w:ascii="Calibri" w:hAnsi="Calibri" w:cs="Calibri"/>
                <w:b/>
                <w:bCs/>
                <w:color w:val="000000"/>
                <w:sz w:val="20"/>
                <w:szCs w:val="20"/>
                <w:shd w:val="clear" w:color="auto" w:fill="FFFFFF"/>
              </w:rPr>
              <w:t>Support for trainees and schools where trainees are encountering long-term difficulties</w:t>
            </w:r>
            <w:r w:rsidRPr="0076269C">
              <w:rPr>
                <w:rStyle w:val="eop"/>
                <w:rFonts w:ascii="Calibri" w:hAnsi="Calibri" w:cs="Calibri"/>
                <w:color w:val="000000"/>
                <w:sz w:val="20"/>
                <w:szCs w:val="20"/>
                <w:shd w:val="clear" w:color="auto" w:fill="FFFFFF"/>
              </w:rPr>
              <w:t>  - new process being developed for 22/23</w:t>
            </w:r>
          </w:p>
          <w:p w:rsidR="00473160" w:rsidRDefault="00473160" w:rsidP="005068DD">
            <w:pPr>
              <w:pStyle w:val="ListParagraph"/>
              <w:numPr>
                <w:ilvl w:val="0"/>
                <w:numId w:val="7"/>
              </w:numPr>
              <w:tabs>
                <w:tab w:val="left" w:pos="3909"/>
              </w:tabs>
              <w:spacing w:after="0" w:line="23" w:lineRule="atLeast"/>
              <w:rPr>
                <w:rFonts w:cstheme="minorHAnsi"/>
                <w:sz w:val="20"/>
                <w:szCs w:val="20"/>
              </w:rPr>
            </w:pPr>
            <w:r w:rsidRPr="0076269C">
              <w:rPr>
                <w:rFonts w:cstheme="minorHAnsi"/>
                <w:b/>
                <w:sz w:val="20"/>
                <w:szCs w:val="20"/>
              </w:rPr>
              <w:t>Fundamental Skills</w:t>
            </w:r>
            <w:r w:rsidRPr="0076269C">
              <w:rPr>
                <w:rFonts w:cstheme="minorHAnsi"/>
                <w:sz w:val="20"/>
                <w:szCs w:val="20"/>
              </w:rPr>
              <w:t xml:space="preserve"> – Explained new processes this year</w:t>
            </w:r>
          </w:p>
          <w:p w:rsidR="00473160" w:rsidRPr="0076269C" w:rsidRDefault="00473160" w:rsidP="00473160">
            <w:pPr>
              <w:tabs>
                <w:tab w:val="left" w:pos="3909"/>
              </w:tabs>
              <w:spacing w:after="0" w:line="23" w:lineRule="atLeast"/>
              <w:rPr>
                <w:rFonts w:cstheme="minorHAnsi"/>
                <w:i/>
                <w:sz w:val="20"/>
                <w:szCs w:val="20"/>
                <w:highlight w:val="yellow"/>
              </w:rPr>
            </w:pPr>
            <w:r>
              <w:rPr>
                <w:rFonts w:cstheme="minorHAnsi"/>
                <w:sz w:val="20"/>
                <w:szCs w:val="20"/>
              </w:rPr>
              <w:t xml:space="preserve">SIPG members split into breakout groups to discuss the improvement plan, these were then discussed as a group and any actions noted added to the Improvement Plan. Lots of discussion around the IDP and how to support mentors to further engage with our curriculum. </w:t>
            </w:r>
          </w:p>
        </w:tc>
      </w:tr>
      <w:tr w:rsidR="00473160" w:rsidTr="00473160">
        <w:trPr>
          <w:trHeight w:val="1046"/>
        </w:trPr>
        <w:tc>
          <w:tcPr>
            <w:tcW w:w="1419" w:type="dxa"/>
          </w:tcPr>
          <w:p w:rsidR="00473160" w:rsidRPr="0014296D" w:rsidRDefault="00473160" w:rsidP="00CC1281">
            <w:pPr>
              <w:spacing w:after="0" w:line="23" w:lineRule="atLeast"/>
              <w:rPr>
                <w:rFonts w:cstheme="minorHAnsi"/>
                <w:sz w:val="20"/>
                <w:szCs w:val="20"/>
              </w:rPr>
            </w:pPr>
            <w:r w:rsidRPr="0014296D">
              <w:rPr>
                <w:rFonts w:cstheme="minorHAnsi"/>
                <w:sz w:val="20"/>
                <w:szCs w:val="20"/>
              </w:rPr>
              <w:t>5</w:t>
            </w:r>
          </w:p>
        </w:tc>
        <w:tc>
          <w:tcPr>
            <w:tcW w:w="10200" w:type="dxa"/>
          </w:tcPr>
          <w:p w:rsidR="00473160" w:rsidRDefault="00473160" w:rsidP="00CC1281">
            <w:pPr>
              <w:spacing w:after="0" w:line="23" w:lineRule="atLeast"/>
              <w:rPr>
                <w:rFonts w:cstheme="minorHAnsi"/>
                <w:b/>
                <w:sz w:val="20"/>
                <w:szCs w:val="20"/>
              </w:rPr>
            </w:pPr>
            <w:r w:rsidRPr="00CC1281">
              <w:rPr>
                <w:rFonts w:cstheme="minorHAnsi"/>
                <w:b/>
                <w:sz w:val="20"/>
                <w:szCs w:val="20"/>
              </w:rPr>
              <w:t>ITT accreditation 2024/25</w:t>
            </w:r>
          </w:p>
          <w:p w:rsidR="00473160" w:rsidRPr="00CC1281" w:rsidRDefault="00473160" w:rsidP="00CC1281">
            <w:pPr>
              <w:spacing w:after="0" w:line="23" w:lineRule="atLeast"/>
              <w:rPr>
                <w:rFonts w:cstheme="minorHAnsi"/>
                <w:b/>
                <w:sz w:val="20"/>
                <w:szCs w:val="20"/>
              </w:rPr>
            </w:pPr>
          </w:p>
          <w:p w:rsidR="00473160" w:rsidRDefault="00473160" w:rsidP="006F3333">
            <w:pPr>
              <w:spacing w:after="0" w:line="23" w:lineRule="atLeast"/>
              <w:rPr>
                <w:rFonts w:cstheme="minorHAnsi"/>
                <w:sz w:val="20"/>
                <w:szCs w:val="20"/>
              </w:rPr>
            </w:pPr>
            <w:r>
              <w:rPr>
                <w:rFonts w:cstheme="minorHAnsi"/>
                <w:sz w:val="20"/>
                <w:szCs w:val="20"/>
              </w:rPr>
              <w:t>Confirmed submitted by first (February) deadline</w:t>
            </w:r>
          </w:p>
          <w:p w:rsidR="00473160" w:rsidRDefault="00473160" w:rsidP="006F3333">
            <w:pPr>
              <w:spacing w:after="0" w:line="23" w:lineRule="atLeast"/>
              <w:rPr>
                <w:rFonts w:cstheme="minorHAnsi"/>
                <w:sz w:val="20"/>
                <w:szCs w:val="20"/>
              </w:rPr>
            </w:pPr>
          </w:p>
          <w:p w:rsidR="00473160" w:rsidRDefault="00473160" w:rsidP="006F3333">
            <w:pPr>
              <w:spacing w:after="0" w:line="23" w:lineRule="atLeast"/>
              <w:rPr>
                <w:rFonts w:cstheme="minorHAnsi"/>
                <w:sz w:val="20"/>
                <w:szCs w:val="20"/>
              </w:rPr>
            </w:pPr>
            <w:r>
              <w:rPr>
                <w:rFonts w:cstheme="minorHAnsi"/>
                <w:sz w:val="20"/>
                <w:szCs w:val="20"/>
              </w:rPr>
              <w:t xml:space="preserve">SIPG members split into breakout group to discuss the accreditation plans and any concerns and ideas that the proposals raised. Concerns raised about time for additional mentor training and logistical issues for the ITAP. Positive feedback around role of Communities of Practice to support schools. </w:t>
            </w:r>
          </w:p>
          <w:p w:rsidR="00473160" w:rsidRDefault="00473160" w:rsidP="00CC1281">
            <w:pPr>
              <w:tabs>
                <w:tab w:val="left" w:pos="3909"/>
              </w:tabs>
              <w:spacing w:after="0" w:line="23" w:lineRule="atLeast"/>
              <w:rPr>
                <w:rFonts w:cstheme="minorHAnsi"/>
                <w:sz w:val="20"/>
                <w:szCs w:val="20"/>
              </w:rPr>
            </w:pPr>
          </w:p>
          <w:p w:rsidR="00473160" w:rsidRPr="0014296D" w:rsidRDefault="00473160" w:rsidP="00CC1281">
            <w:pPr>
              <w:tabs>
                <w:tab w:val="left" w:pos="3909"/>
              </w:tabs>
              <w:spacing w:after="0" w:line="23" w:lineRule="atLeast"/>
              <w:rPr>
                <w:rFonts w:cstheme="minorHAnsi"/>
                <w:sz w:val="20"/>
                <w:szCs w:val="20"/>
              </w:rPr>
            </w:pPr>
          </w:p>
        </w:tc>
      </w:tr>
      <w:tr w:rsidR="00473160" w:rsidTr="00473160">
        <w:trPr>
          <w:trHeight w:val="1057"/>
        </w:trPr>
        <w:tc>
          <w:tcPr>
            <w:tcW w:w="1419" w:type="dxa"/>
          </w:tcPr>
          <w:p w:rsidR="00473160" w:rsidRPr="0014296D" w:rsidRDefault="00473160" w:rsidP="00CC1281">
            <w:pPr>
              <w:spacing w:after="0" w:line="23" w:lineRule="atLeast"/>
              <w:rPr>
                <w:rFonts w:cstheme="minorHAnsi"/>
                <w:sz w:val="20"/>
                <w:szCs w:val="20"/>
              </w:rPr>
            </w:pPr>
            <w:r w:rsidRPr="0014296D">
              <w:rPr>
                <w:rFonts w:cstheme="minorHAnsi"/>
                <w:sz w:val="20"/>
                <w:szCs w:val="20"/>
              </w:rPr>
              <w:t>6</w:t>
            </w:r>
          </w:p>
        </w:tc>
        <w:tc>
          <w:tcPr>
            <w:tcW w:w="10200" w:type="dxa"/>
          </w:tcPr>
          <w:p w:rsidR="00473160" w:rsidRDefault="00473160" w:rsidP="00CC1281">
            <w:pPr>
              <w:spacing w:after="0" w:line="23" w:lineRule="atLeast"/>
              <w:rPr>
                <w:rFonts w:cstheme="minorHAnsi"/>
                <w:b/>
                <w:sz w:val="20"/>
                <w:szCs w:val="20"/>
              </w:rPr>
            </w:pPr>
            <w:r w:rsidRPr="00CC1281">
              <w:rPr>
                <w:rFonts w:cstheme="minorHAnsi"/>
                <w:b/>
                <w:sz w:val="20"/>
                <w:szCs w:val="20"/>
              </w:rPr>
              <w:t>Ofsted - Assessment of trainees against the curriculum</w:t>
            </w:r>
          </w:p>
          <w:p w:rsidR="00473160" w:rsidRPr="00CC1281" w:rsidRDefault="00473160" w:rsidP="00CC1281">
            <w:pPr>
              <w:spacing w:after="0" w:line="23" w:lineRule="atLeast"/>
              <w:rPr>
                <w:rFonts w:cstheme="minorHAnsi"/>
                <w:b/>
                <w:sz w:val="20"/>
                <w:szCs w:val="20"/>
              </w:rPr>
            </w:pPr>
          </w:p>
          <w:p w:rsidR="00473160" w:rsidRPr="0014296D" w:rsidRDefault="00473160" w:rsidP="0076269C">
            <w:pPr>
              <w:spacing w:after="0" w:line="23" w:lineRule="atLeast"/>
              <w:rPr>
                <w:rFonts w:cstheme="minorHAnsi"/>
                <w:sz w:val="20"/>
                <w:szCs w:val="20"/>
              </w:rPr>
            </w:pPr>
            <w:r>
              <w:rPr>
                <w:rFonts w:cstheme="minorHAnsi"/>
                <w:sz w:val="20"/>
                <w:szCs w:val="20"/>
              </w:rPr>
              <w:t>Discussion around c</w:t>
            </w:r>
            <w:r w:rsidRPr="0014296D">
              <w:rPr>
                <w:rFonts w:cstheme="minorHAnsi"/>
                <w:sz w:val="20"/>
                <w:szCs w:val="20"/>
              </w:rPr>
              <w:t xml:space="preserve">onnecting university and school based curriculum – important </w:t>
            </w:r>
            <w:r>
              <w:rPr>
                <w:rFonts w:cstheme="minorHAnsi"/>
                <w:sz w:val="20"/>
                <w:szCs w:val="20"/>
              </w:rPr>
              <w:t xml:space="preserve">that </w:t>
            </w:r>
            <w:r w:rsidRPr="0014296D">
              <w:rPr>
                <w:rFonts w:cstheme="minorHAnsi"/>
                <w:sz w:val="20"/>
                <w:szCs w:val="20"/>
              </w:rPr>
              <w:t xml:space="preserve">we assess in relation to the curriculum rather than against the summative full standards from the start. </w:t>
            </w:r>
          </w:p>
        </w:tc>
      </w:tr>
      <w:tr w:rsidR="00473160" w:rsidTr="00473160">
        <w:trPr>
          <w:trHeight w:val="528"/>
        </w:trPr>
        <w:tc>
          <w:tcPr>
            <w:tcW w:w="1419" w:type="dxa"/>
          </w:tcPr>
          <w:p w:rsidR="00473160" w:rsidRPr="0014296D" w:rsidRDefault="00473160" w:rsidP="00CC1281">
            <w:pPr>
              <w:tabs>
                <w:tab w:val="left" w:pos="3909"/>
              </w:tabs>
              <w:spacing w:after="0" w:line="23" w:lineRule="atLeast"/>
              <w:rPr>
                <w:rFonts w:cstheme="minorHAnsi"/>
                <w:sz w:val="20"/>
                <w:szCs w:val="20"/>
              </w:rPr>
            </w:pPr>
            <w:r w:rsidRPr="0014296D">
              <w:rPr>
                <w:rFonts w:cstheme="minorHAnsi"/>
                <w:sz w:val="20"/>
                <w:szCs w:val="20"/>
              </w:rPr>
              <w:t>7</w:t>
            </w:r>
          </w:p>
        </w:tc>
        <w:tc>
          <w:tcPr>
            <w:tcW w:w="10200" w:type="dxa"/>
          </w:tcPr>
          <w:p w:rsidR="00473160" w:rsidRPr="00CC1281" w:rsidRDefault="00473160" w:rsidP="00CC1281">
            <w:pPr>
              <w:tabs>
                <w:tab w:val="left" w:pos="3909"/>
              </w:tabs>
              <w:spacing w:after="0" w:line="23" w:lineRule="atLeast"/>
              <w:rPr>
                <w:rFonts w:cstheme="minorHAnsi"/>
                <w:b/>
                <w:sz w:val="20"/>
                <w:szCs w:val="20"/>
              </w:rPr>
            </w:pPr>
            <w:r w:rsidRPr="00CC1281">
              <w:rPr>
                <w:rFonts w:cstheme="minorHAnsi"/>
                <w:b/>
                <w:sz w:val="20"/>
                <w:szCs w:val="20"/>
              </w:rPr>
              <w:t>AOB</w:t>
            </w:r>
          </w:p>
          <w:p w:rsidR="00473160" w:rsidRPr="0014296D" w:rsidRDefault="00473160" w:rsidP="00CC1281">
            <w:pPr>
              <w:tabs>
                <w:tab w:val="left" w:pos="3909"/>
              </w:tabs>
              <w:spacing w:after="0" w:line="23" w:lineRule="atLeast"/>
              <w:rPr>
                <w:rFonts w:cstheme="minorHAnsi"/>
                <w:sz w:val="20"/>
                <w:szCs w:val="20"/>
              </w:rPr>
            </w:pPr>
          </w:p>
          <w:p w:rsidR="00473160" w:rsidRPr="0014296D" w:rsidRDefault="00091C1F" w:rsidP="00CC1281">
            <w:pPr>
              <w:tabs>
                <w:tab w:val="left" w:pos="3909"/>
              </w:tabs>
              <w:spacing w:after="0" w:line="23" w:lineRule="atLeast"/>
              <w:rPr>
                <w:rFonts w:cstheme="minorHAnsi"/>
                <w:sz w:val="20"/>
                <w:szCs w:val="20"/>
              </w:rPr>
            </w:pPr>
            <w:r>
              <w:rPr>
                <w:rFonts w:cstheme="minorHAnsi"/>
                <w:sz w:val="20"/>
                <w:szCs w:val="20"/>
              </w:rPr>
              <w:t>AW</w:t>
            </w:r>
            <w:r w:rsidR="00473160" w:rsidRPr="0014296D">
              <w:rPr>
                <w:rFonts w:cstheme="minorHAnsi"/>
                <w:sz w:val="20"/>
                <w:szCs w:val="20"/>
              </w:rPr>
              <w:t xml:space="preserve"> – ESRC Research Project. About to bid re technology in education. AI and automated technolo</w:t>
            </w:r>
            <w:r>
              <w:rPr>
                <w:rFonts w:cstheme="minorHAnsi"/>
                <w:sz w:val="20"/>
                <w:szCs w:val="20"/>
              </w:rPr>
              <w:t>gies in education.</w:t>
            </w:r>
          </w:p>
        </w:tc>
      </w:tr>
    </w:tbl>
    <w:p w:rsidR="00E5070B" w:rsidRDefault="00E5070B" w:rsidP="0039400D">
      <w:pPr>
        <w:tabs>
          <w:tab w:val="left" w:pos="3909"/>
        </w:tabs>
        <w:spacing w:after="0" w:line="23" w:lineRule="atLeast"/>
      </w:pPr>
    </w:p>
    <w:p w:rsidR="00E5070B" w:rsidRPr="00535660" w:rsidRDefault="00E5070B" w:rsidP="00CC1281">
      <w:pPr>
        <w:tabs>
          <w:tab w:val="left" w:pos="3909"/>
        </w:tabs>
        <w:spacing w:after="0" w:line="23" w:lineRule="atLeast"/>
        <w:jc w:val="center"/>
      </w:pPr>
    </w:p>
    <w:p w:rsidR="004B1A54" w:rsidRDefault="004B1A54" w:rsidP="00CC1281">
      <w:pPr>
        <w:spacing w:after="0" w:line="23" w:lineRule="atLeast"/>
      </w:pPr>
    </w:p>
    <w:p w:rsidR="001A664A" w:rsidRDefault="001A664A" w:rsidP="00CC1281">
      <w:pPr>
        <w:spacing w:after="0" w:line="23" w:lineRule="atLeast"/>
      </w:pPr>
    </w:p>
    <w:p w:rsidR="001A664A" w:rsidRDefault="001A664A" w:rsidP="00CC1281">
      <w:pPr>
        <w:spacing w:after="0" w:line="23" w:lineRule="atLeast"/>
      </w:pPr>
    </w:p>
    <w:p w:rsidR="001A664A" w:rsidRDefault="001A664A" w:rsidP="00CC1281">
      <w:pPr>
        <w:spacing w:after="0" w:line="23" w:lineRule="atLeast"/>
      </w:pPr>
    </w:p>
    <w:p w:rsidR="001A664A" w:rsidRDefault="001A664A" w:rsidP="00CC1281">
      <w:pPr>
        <w:spacing w:after="0" w:line="23" w:lineRule="atLeast"/>
      </w:pPr>
    </w:p>
    <w:sectPr w:rsidR="001A664A" w:rsidSect="00FE0264">
      <w:pgSz w:w="16838" w:h="11906" w:orient="landscape"/>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3EA"/>
    <w:multiLevelType w:val="hybridMultilevel"/>
    <w:tmpl w:val="3FEEDDC2"/>
    <w:lvl w:ilvl="0" w:tplc="CD04C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831E1"/>
    <w:multiLevelType w:val="hybridMultilevel"/>
    <w:tmpl w:val="23805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9F6634D"/>
    <w:multiLevelType w:val="hybridMultilevel"/>
    <w:tmpl w:val="9A58A67C"/>
    <w:lvl w:ilvl="0" w:tplc="584A8B8E">
      <w:start w:val="1"/>
      <w:numFmt w:val="decimal"/>
      <w:lvlText w:val="%1."/>
      <w:lvlJc w:val="left"/>
      <w:pPr>
        <w:ind w:left="3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583914"/>
    <w:multiLevelType w:val="hybridMultilevel"/>
    <w:tmpl w:val="72A47A28"/>
    <w:lvl w:ilvl="0" w:tplc="584A8B8E">
      <w:start w:val="1"/>
      <w:numFmt w:val="decimal"/>
      <w:lvlText w:val="%1."/>
      <w:lvlJc w:val="left"/>
      <w:pPr>
        <w:ind w:left="373" w:hanging="360"/>
      </w:pPr>
      <w:rPr>
        <w:rFonts w:hint="default"/>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4" w15:restartNumberingAfterBreak="0">
    <w:nsid w:val="5261276B"/>
    <w:multiLevelType w:val="hybridMultilevel"/>
    <w:tmpl w:val="DABA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940CB"/>
    <w:multiLevelType w:val="hybridMultilevel"/>
    <w:tmpl w:val="72A47A28"/>
    <w:lvl w:ilvl="0" w:tplc="584A8B8E">
      <w:start w:val="1"/>
      <w:numFmt w:val="decimal"/>
      <w:lvlText w:val="%1."/>
      <w:lvlJc w:val="left"/>
      <w:pPr>
        <w:ind w:left="373" w:hanging="360"/>
      </w:pPr>
      <w:rPr>
        <w:rFonts w:hint="default"/>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6" w15:restartNumberingAfterBreak="0">
    <w:nsid w:val="5D972C37"/>
    <w:multiLevelType w:val="hybridMultilevel"/>
    <w:tmpl w:val="044AD594"/>
    <w:lvl w:ilvl="0" w:tplc="C3E23C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D4648"/>
    <w:multiLevelType w:val="hybridMultilevel"/>
    <w:tmpl w:val="EC5A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0B"/>
    <w:rsid w:val="00066CEC"/>
    <w:rsid w:val="0009052D"/>
    <w:rsid w:val="00091C1F"/>
    <w:rsid w:val="00113B43"/>
    <w:rsid w:val="0014296D"/>
    <w:rsid w:val="0016606E"/>
    <w:rsid w:val="0016726B"/>
    <w:rsid w:val="00182474"/>
    <w:rsid w:val="001A664A"/>
    <w:rsid w:val="001B089B"/>
    <w:rsid w:val="00236EBC"/>
    <w:rsid w:val="00257327"/>
    <w:rsid w:val="00266F55"/>
    <w:rsid w:val="002B2EAF"/>
    <w:rsid w:val="00303357"/>
    <w:rsid w:val="00317984"/>
    <w:rsid w:val="0039400D"/>
    <w:rsid w:val="003B24F6"/>
    <w:rsid w:val="003C7792"/>
    <w:rsid w:val="00407E90"/>
    <w:rsid w:val="00452EB9"/>
    <w:rsid w:val="0046273E"/>
    <w:rsid w:val="004671FA"/>
    <w:rsid w:val="004711D5"/>
    <w:rsid w:val="00473160"/>
    <w:rsid w:val="004B1A54"/>
    <w:rsid w:val="005068DD"/>
    <w:rsid w:val="005113B5"/>
    <w:rsid w:val="00537966"/>
    <w:rsid w:val="00606899"/>
    <w:rsid w:val="006A77A1"/>
    <w:rsid w:val="006F3333"/>
    <w:rsid w:val="007204D8"/>
    <w:rsid w:val="00760C99"/>
    <w:rsid w:val="0076269C"/>
    <w:rsid w:val="007654BA"/>
    <w:rsid w:val="00777D61"/>
    <w:rsid w:val="008A0585"/>
    <w:rsid w:val="008D009B"/>
    <w:rsid w:val="00910ACA"/>
    <w:rsid w:val="00921876"/>
    <w:rsid w:val="0096532D"/>
    <w:rsid w:val="00A11B6D"/>
    <w:rsid w:val="00A762C5"/>
    <w:rsid w:val="00B16E1C"/>
    <w:rsid w:val="00B1787C"/>
    <w:rsid w:val="00B23B7A"/>
    <w:rsid w:val="00B93213"/>
    <w:rsid w:val="00BF443F"/>
    <w:rsid w:val="00BF53E2"/>
    <w:rsid w:val="00C673BC"/>
    <w:rsid w:val="00C87890"/>
    <w:rsid w:val="00CB48E8"/>
    <w:rsid w:val="00CC07A7"/>
    <w:rsid w:val="00CC1281"/>
    <w:rsid w:val="00CE5040"/>
    <w:rsid w:val="00E035BF"/>
    <w:rsid w:val="00E5070B"/>
    <w:rsid w:val="00E820EF"/>
    <w:rsid w:val="00F01231"/>
    <w:rsid w:val="00F07972"/>
    <w:rsid w:val="00F12C23"/>
    <w:rsid w:val="00F43A38"/>
    <w:rsid w:val="00F933E5"/>
    <w:rsid w:val="00FE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632D"/>
  <w15:chartTrackingRefBased/>
  <w15:docId w15:val="{D9BF1C6A-F121-4081-BDEC-C84C99E0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0B"/>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70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5070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070B"/>
    <w:rPr>
      <w:rFonts w:asciiTheme="minorHAnsi" w:eastAsiaTheme="minorEastAsia" w:hAnsiTheme="minorHAnsi"/>
      <w:color w:val="5A5A5A" w:themeColor="text1" w:themeTint="A5"/>
      <w:spacing w:val="15"/>
    </w:rPr>
  </w:style>
  <w:style w:type="character" w:styleId="Hyperlink">
    <w:name w:val="Hyperlink"/>
    <w:basedOn w:val="DefaultParagraphFont"/>
    <w:uiPriority w:val="99"/>
    <w:unhideWhenUsed/>
    <w:rsid w:val="00E5070B"/>
    <w:rPr>
      <w:color w:val="0563C1" w:themeColor="hyperlink"/>
      <w:u w:val="single"/>
    </w:rPr>
  </w:style>
  <w:style w:type="paragraph" w:styleId="ListParagraph">
    <w:name w:val="List Paragraph"/>
    <w:basedOn w:val="Normal"/>
    <w:uiPriority w:val="34"/>
    <w:qFormat/>
    <w:rsid w:val="00F12C23"/>
    <w:pPr>
      <w:ind w:left="720"/>
      <w:contextualSpacing/>
    </w:pPr>
  </w:style>
  <w:style w:type="paragraph" w:styleId="NormalWeb">
    <w:name w:val="Normal (Web)"/>
    <w:basedOn w:val="Normal"/>
    <w:uiPriority w:val="99"/>
    <w:unhideWhenUsed/>
    <w:rsid w:val="00921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68DD"/>
  </w:style>
  <w:style w:type="character" w:customStyle="1" w:styleId="eop">
    <w:name w:val="eop"/>
    <w:basedOn w:val="DefaultParagraphFont"/>
    <w:rsid w:val="0050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2183">
      <w:bodyDiv w:val="1"/>
      <w:marLeft w:val="0"/>
      <w:marRight w:val="0"/>
      <w:marTop w:val="0"/>
      <w:marBottom w:val="0"/>
      <w:divBdr>
        <w:top w:val="none" w:sz="0" w:space="0" w:color="auto"/>
        <w:left w:val="none" w:sz="0" w:space="0" w:color="auto"/>
        <w:bottom w:val="none" w:sz="0" w:space="0" w:color="auto"/>
        <w:right w:val="none" w:sz="0" w:space="0" w:color="auto"/>
      </w:divBdr>
    </w:div>
    <w:div w:id="1069886149">
      <w:bodyDiv w:val="1"/>
      <w:marLeft w:val="0"/>
      <w:marRight w:val="0"/>
      <w:marTop w:val="0"/>
      <w:marBottom w:val="0"/>
      <w:divBdr>
        <w:top w:val="none" w:sz="0" w:space="0" w:color="auto"/>
        <w:left w:val="none" w:sz="0" w:space="0" w:color="auto"/>
        <w:bottom w:val="none" w:sz="0" w:space="0" w:color="auto"/>
        <w:right w:val="none" w:sz="0" w:space="0" w:color="auto"/>
      </w:divBdr>
    </w:div>
    <w:div w:id="1692685533">
      <w:bodyDiv w:val="1"/>
      <w:marLeft w:val="0"/>
      <w:marRight w:val="0"/>
      <w:marTop w:val="0"/>
      <w:marBottom w:val="0"/>
      <w:divBdr>
        <w:top w:val="none" w:sz="0" w:space="0" w:color="auto"/>
        <w:left w:val="none" w:sz="0" w:space="0" w:color="auto"/>
        <w:bottom w:val="none" w:sz="0" w:space="0" w:color="auto"/>
        <w:right w:val="none" w:sz="0" w:space="0" w:color="auto"/>
      </w:divBdr>
    </w:div>
    <w:div w:id="17284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70B3-DAFB-4553-8312-BFF5E511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Lucie</dc:creator>
  <cp:keywords/>
  <dc:description/>
  <cp:lastModifiedBy>Vague, Jon</cp:lastModifiedBy>
  <cp:revision>5</cp:revision>
  <dcterms:created xsi:type="dcterms:W3CDTF">2022-03-01T17:41:00Z</dcterms:created>
  <dcterms:modified xsi:type="dcterms:W3CDTF">2022-03-18T12:37:00Z</dcterms:modified>
</cp:coreProperties>
</file>