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AF" w:rsidRDefault="00E466AF" w:rsidP="00E466AF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5CD3DC" wp14:editId="72388C2A">
            <wp:simplePos x="0" y="0"/>
            <wp:positionH relativeFrom="column">
              <wp:posOffset>5349240</wp:posOffset>
            </wp:positionH>
            <wp:positionV relativeFrom="paragraph">
              <wp:posOffset>-243840</wp:posOffset>
            </wp:positionV>
            <wp:extent cx="1278255" cy="3425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_th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7E662103" wp14:editId="2F0D76BD">
            <wp:extent cx="1935480" cy="3910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AF" w:rsidRPr="006346A9" w:rsidRDefault="00E466AF" w:rsidP="00E466AF">
      <w:pPr>
        <w:rPr>
          <w:b/>
        </w:rPr>
      </w:pPr>
      <w:r>
        <w:rPr>
          <w:b/>
        </w:rPr>
        <w:t xml:space="preserve">Centre for Social Mobility Conference: 12th June,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2693"/>
      </w:tblGrid>
      <w:tr w:rsidR="00E466AF" w:rsidTr="00E74E78">
        <w:tc>
          <w:tcPr>
            <w:tcW w:w="8784" w:type="dxa"/>
            <w:gridSpan w:val="4"/>
          </w:tcPr>
          <w:p w:rsidR="00E466AF" w:rsidRDefault="00E466AF" w:rsidP="00E74E78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E466AF" w:rsidTr="00E74E78">
        <w:tc>
          <w:tcPr>
            <w:tcW w:w="8784" w:type="dxa"/>
            <w:gridSpan w:val="4"/>
          </w:tcPr>
          <w:p w:rsidR="00E466AF" w:rsidRDefault="00E466AF" w:rsidP="00E74E78">
            <w:r>
              <w:rPr>
                <w:b/>
              </w:rPr>
              <w:t xml:space="preserve">Arrival and coffee from 9.30am </w:t>
            </w:r>
            <w:r w:rsidRPr="00812A2D">
              <w:rPr>
                <w:b/>
              </w:rPr>
              <w:t xml:space="preserve">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/>
        </w:tc>
        <w:tc>
          <w:tcPr>
            <w:tcW w:w="1701" w:type="dxa"/>
          </w:tcPr>
          <w:p w:rsidR="00E466AF" w:rsidRPr="00D56DF7" w:rsidRDefault="00E466AF" w:rsidP="00E74E78">
            <w:pPr>
              <w:rPr>
                <w:b/>
              </w:rPr>
            </w:pPr>
            <w:r w:rsidRPr="00D56DF7">
              <w:rPr>
                <w:b/>
              </w:rPr>
              <w:t xml:space="preserve">Time </w:t>
            </w:r>
          </w:p>
        </w:tc>
        <w:tc>
          <w:tcPr>
            <w:tcW w:w="2977" w:type="dxa"/>
          </w:tcPr>
          <w:p w:rsidR="00E466AF" w:rsidRPr="00D56DF7" w:rsidRDefault="00E466AF" w:rsidP="00E74E78">
            <w:pPr>
              <w:rPr>
                <w:b/>
              </w:rPr>
            </w:pPr>
            <w:r w:rsidRPr="00D56DF7">
              <w:rPr>
                <w:b/>
              </w:rPr>
              <w:t xml:space="preserve">Topic </w:t>
            </w:r>
          </w:p>
        </w:tc>
        <w:tc>
          <w:tcPr>
            <w:tcW w:w="2693" w:type="dxa"/>
          </w:tcPr>
          <w:p w:rsidR="00E466AF" w:rsidRPr="00D56DF7" w:rsidDel="000D7C9D" w:rsidRDefault="00E466AF" w:rsidP="00E74E78">
            <w:pPr>
              <w:rPr>
                <w:b/>
              </w:rPr>
            </w:pPr>
            <w:r w:rsidRPr="00D56DF7">
              <w:rPr>
                <w:b/>
              </w:rPr>
              <w:t xml:space="preserve">Speaker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Introduction </w:t>
            </w:r>
          </w:p>
        </w:tc>
        <w:tc>
          <w:tcPr>
            <w:tcW w:w="1701" w:type="dxa"/>
          </w:tcPr>
          <w:p w:rsidR="00E466AF" w:rsidRDefault="00E466AF" w:rsidP="00E74E78">
            <w:r>
              <w:t>9.45-10.00am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Opening address </w:t>
            </w:r>
          </w:p>
        </w:tc>
        <w:tc>
          <w:tcPr>
            <w:tcW w:w="2693" w:type="dxa"/>
          </w:tcPr>
          <w:p w:rsidR="00E466AF" w:rsidRDefault="00E466AF" w:rsidP="00E74E78">
            <w:r w:rsidRPr="002C051B">
              <w:t xml:space="preserve">Professor </w:t>
            </w:r>
            <w:r w:rsidRPr="00A1301B">
              <w:rPr>
                <w:rFonts w:eastAsia="Times New Roman" w:cs="Arial"/>
                <w:color w:val="000000"/>
                <w:lang w:eastAsia="en-GB"/>
              </w:rPr>
              <w:t>Debra</w:t>
            </w:r>
            <w:r w:rsidRPr="002C051B">
              <w:t xml:space="preserve"> Myhill, PVC College of Social Science and International Studies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>Presentation</w:t>
            </w:r>
          </w:p>
        </w:tc>
        <w:tc>
          <w:tcPr>
            <w:tcW w:w="1701" w:type="dxa"/>
          </w:tcPr>
          <w:p w:rsidR="00E466AF" w:rsidRDefault="00E466AF" w:rsidP="00E74E78">
            <w:r>
              <w:t>10.00-10.30am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My pathway to HE: why social mobility matters </w:t>
            </w:r>
          </w:p>
        </w:tc>
        <w:tc>
          <w:tcPr>
            <w:tcW w:w="2693" w:type="dxa"/>
          </w:tcPr>
          <w:p w:rsidR="00E466AF" w:rsidRDefault="00E466AF" w:rsidP="00E74E78">
            <w:r>
              <w:t>Dr Matthew Channon and student speakers Sophy Miles and Matthew Cordwent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Presentation </w:t>
            </w:r>
          </w:p>
        </w:tc>
        <w:tc>
          <w:tcPr>
            <w:tcW w:w="1701" w:type="dxa"/>
          </w:tcPr>
          <w:p w:rsidR="00E466AF" w:rsidRDefault="00E466AF" w:rsidP="00E74E78">
            <w:r>
              <w:t>10.30-11.00am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Developing a whole institution approach and the Centre for Social Mobility 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Dr Anna Mountford-Zimdars and Nicola Sinclair, Co-Directors Centre for Social Mobility </w:t>
            </w:r>
          </w:p>
        </w:tc>
      </w:tr>
      <w:tr w:rsidR="00E466AF" w:rsidTr="00E74E78">
        <w:tc>
          <w:tcPr>
            <w:tcW w:w="8784" w:type="dxa"/>
            <w:gridSpan w:val="4"/>
          </w:tcPr>
          <w:p w:rsidR="00E466AF" w:rsidRPr="00812A2D" w:rsidRDefault="00E466AF" w:rsidP="00E74E78">
            <w:pPr>
              <w:rPr>
                <w:b/>
              </w:rPr>
            </w:pPr>
            <w:r w:rsidRPr="00812A2D">
              <w:rPr>
                <w:b/>
              </w:rPr>
              <w:t xml:space="preserve">Break and networking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Workshop 1 </w:t>
            </w:r>
          </w:p>
        </w:tc>
        <w:tc>
          <w:tcPr>
            <w:tcW w:w="1701" w:type="dxa"/>
          </w:tcPr>
          <w:p w:rsidR="00E466AF" w:rsidRDefault="00E466AF" w:rsidP="00E74E78">
            <w:r>
              <w:t>11.30-12:30pm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Inclusive teaching practice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Professor </w:t>
            </w:r>
            <w:r w:rsidRPr="00A1301B">
              <w:rPr>
                <w:rFonts w:eastAsia="Times New Roman" w:cs="Arial"/>
                <w:color w:val="000000"/>
                <w:lang w:eastAsia="en-GB"/>
              </w:rPr>
              <w:t>Debra</w:t>
            </w:r>
            <w:r>
              <w:t xml:space="preserve"> Myhill, PVC College of Social Science and International Studies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Workshop 2 </w:t>
            </w:r>
          </w:p>
        </w:tc>
        <w:tc>
          <w:tcPr>
            <w:tcW w:w="1701" w:type="dxa"/>
          </w:tcPr>
          <w:p w:rsidR="00E466AF" w:rsidRDefault="00E466AF" w:rsidP="00E74E78">
            <w:r>
              <w:t>11.30-12:30pm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University context, challenges and developments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Nicola Sinclair, Head of WP and UK Student Recruitment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Workshop 3 </w:t>
            </w:r>
          </w:p>
        </w:tc>
        <w:tc>
          <w:tcPr>
            <w:tcW w:w="1701" w:type="dxa"/>
          </w:tcPr>
          <w:p w:rsidR="00E466AF" w:rsidRDefault="00E466AF" w:rsidP="00E74E78">
            <w:r>
              <w:t>11.30-12:30pm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Conceiving disadvantage: stats, definitions and limitations 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Sam Dyer and Dr Kirsty Janes, WP team 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Workshop 4 </w:t>
            </w:r>
          </w:p>
        </w:tc>
        <w:tc>
          <w:tcPr>
            <w:tcW w:w="1701" w:type="dxa"/>
          </w:tcPr>
          <w:p w:rsidR="00E466AF" w:rsidRDefault="00E466AF" w:rsidP="00E74E78">
            <w:r>
              <w:t>11.30-12:30pm</w:t>
            </w:r>
          </w:p>
        </w:tc>
        <w:tc>
          <w:tcPr>
            <w:tcW w:w="2977" w:type="dxa"/>
          </w:tcPr>
          <w:p w:rsidR="00E466AF" w:rsidRDefault="00E466AF" w:rsidP="00E74E78">
            <w:r>
              <w:t>The role of the personal tutor in supporting success and progression</w:t>
            </w:r>
          </w:p>
        </w:tc>
        <w:tc>
          <w:tcPr>
            <w:tcW w:w="2693" w:type="dxa"/>
          </w:tcPr>
          <w:p w:rsidR="00E466AF" w:rsidRDefault="00E466AF" w:rsidP="00E74E78">
            <w:r>
              <w:t>Professor Wendy Robinson, Academic Dean for Students and</w:t>
            </w:r>
          </w:p>
          <w:p w:rsidR="00E466AF" w:rsidRDefault="00E466AF" w:rsidP="00E74E78">
            <w:r>
              <w:t xml:space="preserve">Sue Millward, PM Learning Analytics Project </w:t>
            </w:r>
          </w:p>
        </w:tc>
      </w:tr>
      <w:tr w:rsidR="00E466AF" w:rsidTr="00E74E78">
        <w:tc>
          <w:tcPr>
            <w:tcW w:w="8784" w:type="dxa"/>
            <w:gridSpan w:val="4"/>
          </w:tcPr>
          <w:p w:rsidR="00E466AF" w:rsidRPr="007B7207" w:rsidRDefault="00E466AF" w:rsidP="00E74E78">
            <w:pPr>
              <w:rPr>
                <w:b/>
              </w:rPr>
            </w:pPr>
            <w:r w:rsidRPr="007B7207">
              <w:rPr>
                <w:b/>
              </w:rPr>
              <w:t>Lunch and networking with information tables / poster presentations from professional services</w:t>
            </w:r>
            <w:r>
              <w:rPr>
                <w:b/>
              </w:rPr>
              <w:t xml:space="preserve">, academic staff </w:t>
            </w:r>
            <w:r w:rsidRPr="007B7207">
              <w:rPr>
                <w:b/>
              </w:rPr>
              <w:t xml:space="preserve">and PhD students </w:t>
            </w:r>
          </w:p>
        </w:tc>
      </w:tr>
      <w:tr w:rsidR="00E466AF" w:rsidTr="00E74E78">
        <w:tc>
          <w:tcPr>
            <w:tcW w:w="1413" w:type="dxa"/>
          </w:tcPr>
          <w:p w:rsidR="00E466AF" w:rsidRDefault="00E466AF" w:rsidP="00E74E78">
            <w:r>
              <w:t xml:space="preserve">Presentation </w:t>
            </w:r>
          </w:p>
        </w:tc>
        <w:tc>
          <w:tcPr>
            <w:tcW w:w="1701" w:type="dxa"/>
          </w:tcPr>
          <w:p w:rsidR="00E466AF" w:rsidRDefault="00E466AF" w:rsidP="00E74E78">
            <w:r>
              <w:t>1.30-2.15pm</w:t>
            </w:r>
          </w:p>
        </w:tc>
        <w:tc>
          <w:tcPr>
            <w:tcW w:w="2977" w:type="dxa"/>
          </w:tcPr>
          <w:p w:rsidR="00E466AF" w:rsidRDefault="00E466AF" w:rsidP="00E74E78">
            <w:r>
              <w:t xml:space="preserve">Keynote 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Dr Lee Elliot Major, Chief Executive, Sutton Trust </w:t>
            </w:r>
          </w:p>
        </w:tc>
      </w:tr>
      <w:tr w:rsidR="00E466AF" w:rsidTr="00E74E78">
        <w:tc>
          <w:tcPr>
            <w:tcW w:w="1413" w:type="dxa"/>
          </w:tcPr>
          <w:p w:rsidR="00E466AF" w:rsidRPr="002026C8" w:rsidRDefault="00E466AF" w:rsidP="00E74E78">
            <w:r>
              <w:t xml:space="preserve">Panel </w:t>
            </w:r>
          </w:p>
        </w:tc>
        <w:tc>
          <w:tcPr>
            <w:tcW w:w="1701" w:type="dxa"/>
          </w:tcPr>
          <w:p w:rsidR="00E466AF" w:rsidRDefault="00E466AF" w:rsidP="00E74E78">
            <w:r>
              <w:t>2.15-3.00pm</w:t>
            </w:r>
          </w:p>
        </w:tc>
        <w:tc>
          <w:tcPr>
            <w:tcW w:w="2977" w:type="dxa"/>
          </w:tcPr>
          <w:p w:rsidR="00E466AF" w:rsidRPr="008234D6" w:rsidRDefault="00E466AF" w:rsidP="00E74E78">
            <w:r>
              <w:t xml:space="preserve">Q &amp; A and discussion </w:t>
            </w:r>
          </w:p>
        </w:tc>
        <w:tc>
          <w:tcPr>
            <w:tcW w:w="2693" w:type="dxa"/>
          </w:tcPr>
          <w:p w:rsidR="00E466AF" w:rsidRPr="00150D89" w:rsidRDefault="00E466AF" w:rsidP="00E74E78">
            <w:r>
              <w:t xml:space="preserve">Panel including academic staff, students and professional services </w:t>
            </w:r>
            <w:r w:rsidRPr="00150D89">
              <w:t xml:space="preserve"> </w:t>
            </w:r>
          </w:p>
        </w:tc>
      </w:tr>
      <w:tr w:rsidR="00E466AF" w:rsidTr="00E74E78">
        <w:tc>
          <w:tcPr>
            <w:tcW w:w="1413" w:type="dxa"/>
          </w:tcPr>
          <w:p w:rsidR="00E466AF" w:rsidRPr="002026C8" w:rsidRDefault="00E466AF" w:rsidP="00E74E78">
            <w:r>
              <w:t xml:space="preserve">Closing remarks </w:t>
            </w:r>
          </w:p>
        </w:tc>
        <w:tc>
          <w:tcPr>
            <w:tcW w:w="1701" w:type="dxa"/>
          </w:tcPr>
          <w:p w:rsidR="00E466AF" w:rsidRPr="00CD0C7F" w:rsidRDefault="00E466AF" w:rsidP="00E74E78">
            <w:r>
              <w:t>3.00-3.15pm</w:t>
            </w:r>
          </w:p>
        </w:tc>
        <w:tc>
          <w:tcPr>
            <w:tcW w:w="2977" w:type="dxa"/>
          </w:tcPr>
          <w:p w:rsidR="00E466AF" w:rsidRPr="003C01B5" w:rsidRDefault="00E466AF" w:rsidP="00E74E78">
            <w:r w:rsidRPr="003C01B5">
              <w:t xml:space="preserve">Learning points; next steps </w:t>
            </w:r>
          </w:p>
        </w:tc>
        <w:tc>
          <w:tcPr>
            <w:tcW w:w="2693" w:type="dxa"/>
          </w:tcPr>
          <w:p w:rsidR="00E466AF" w:rsidRDefault="00E466AF" w:rsidP="00E74E78">
            <w:r>
              <w:t xml:space="preserve">Professor Wendy Robinson, Academic Dean for Students  </w:t>
            </w:r>
          </w:p>
        </w:tc>
      </w:tr>
      <w:tr w:rsidR="00E466AF" w:rsidTr="00E74E78">
        <w:tc>
          <w:tcPr>
            <w:tcW w:w="8784" w:type="dxa"/>
            <w:gridSpan w:val="4"/>
          </w:tcPr>
          <w:p w:rsidR="00E466AF" w:rsidRDefault="00E466AF" w:rsidP="00E74E78">
            <w:pPr>
              <w:rPr>
                <w:b/>
              </w:rPr>
            </w:pPr>
            <w:r w:rsidRPr="00D56DF7">
              <w:rPr>
                <w:b/>
              </w:rPr>
              <w:t>Centre for Social Mobility reception</w:t>
            </w:r>
            <w:r>
              <w:rPr>
                <w:b/>
              </w:rPr>
              <w:t xml:space="preserve"> from 3:15pm</w:t>
            </w:r>
          </w:p>
          <w:p w:rsidR="00E466AF" w:rsidRPr="00621294" w:rsidRDefault="00E466AF" w:rsidP="00E74E78">
            <w:r>
              <w:t>Those interested in joining the Centre or who just want to continue the conversation are invited to join members of the Centre at an informal reception.</w:t>
            </w:r>
          </w:p>
        </w:tc>
      </w:tr>
    </w:tbl>
    <w:p w:rsidR="00E466AF" w:rsidRPr="00C438FF" w:rsidRDefault="00E466AF" w:rsidP="00E466AF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B11BA" w:rsidRPr="00E466AF" w:rsidRDefault="008B11BA" w:rsidP="00E466AF"/>
    <w:sectPr w:rsidR="008B11BA" w:rsidRPr="00E46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E0"/>
    <w:rsid w:val="00016099"/>
    <w:rsid w:val="00077EDC"/>
    <w:rsid w:val="001B6E01"/>
    <w:rsid w:val="002235E0"/>
    <w:rsid w:val="004E1AD4"/>
    <w:rsid w:val="007D3E05"/>
    <w:rsid w:val="008B11BA"/>
    <w:rsid w:val="00CE590D"/>
    <w:rsid w:val="00D63563"/>
    <w:rsid w:val="00E466AF"/>
    <w:rsid w:val="00E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24F56-1781-424A-9189-696083A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Christopher</dc:creator>
  <cp:keywords/>
  <dc:description/>
  <cp:lastModifiedBy>Tanner, Jane</cp:lastModifiedBy>
  <cp:revision>2</cp:revision>
  <cp:lastPrinted>2018-05-30T08:56:00Z</cp:lastPrinted>
  <dcterms:created xsi:type="dcterms:W3CDTF">2018-06-11T08:33:00Z</dcterms:created>
  <dcterms:modified xsi:type="dcterms:W3CDTF">2018-06-11T08:33:00Z</dcterms:modified>
</cp:coreProperties>
</file>