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2A" w:rsidRPr="00DE7CE3" w:rsidRDefault="001068E0" w:rsidP="00DE7CE3">
      <w:pPr>
        <w:pStyle w:val="Heading1"/>
        <w:spacing w:before="0" w:line="360" w:lineRule="auto"/>
        <w:jc w:val="center"/>
        <w:rPr>
          <w:rFonts w:ascii="Calibri" w:hAnsi="Calibri"/>
          <w:color w:val="548DD4"/>
          <w:sz w:val="40"/>
          <w:szCs w:val="40"/>
        </w:rPr>
      </w:pPr>
      <w:bookmarkStart w:id="0" w:name="_Toc369689004"/>
      <w:bookmarkStart w:id="1" w:name="_Toc384902673"/>
      <w:r w:rsidRPr="00DE7CE3">
        <w:rPr>
          <w:rFonts w:ascii="Calibri" w:hAnsi="Calibri"/>
          <w:color w:val="548DD4"/>
          <w:sz w:val="40"/>
          <w:szCs w:val="40"/>
        </w:rPr>
        <w:t xml:space="preserve">Budget Centre </w:t>
      </w:r>
      <w:r w:rsidR="00924556" w:rsidRPr="00DE7CE3">
        <w:rPr>
          <w:rFonts w:ascii="Calibri" w:hAnsi="Calibri"/>
          <w:color w:val="548DD4"/>
          <w:sz w:val="40"/>
          <w:szCs w:val="40"/>
        </w:rPr>
        <w:t xml:space="preserve">Planning </w:t>
      </w:r>
      <w:r w:rsidRPr="00DE7CE3">
        <w:rPr>
          <w:rFonts w:ascii="Calibri" w:hAnsi="Calibri"/>
          <w:color w:val="548DD4"/>
          <w:sz w:val="40"/>
          <w:szCs w:val="40"/>
        </w:rPr>
        <w:t>Guidance</w:t>
      </w:r>
      <w:bookmarkEnd w:id="0"/>
      <w:bookmarkEnd w:id="1"/>
    </w:p>
    <w:p w:rsidR="00121BCD" w:rsidRDefault="006B1C91">
      <w:pPr>
        <w:pStyle w:val="TOC1"/>
        <w:tabs>
          <w:tab w:val="right" w:leader="dot" w:pos="9016"/>
        </w:tabs>
        <w:rPr>
          <w:rFonts w:asciiTheme="minorHAnsi" w:eastAsiaTheme="minorEastAsia" w:hAnsiTheme="minorHAnsi" w:cstheme="minorBidi"/>
          <w:noProof/>
          <w:lang w:eastAsia="en-GB"/>
        </w:rPr>
      </w:pPr>
      <w:r>
        <w:fldChar w:fldCharType="begin"/>
      </w:r>
      <w:r w:rsidR="00DE5C4A">
        <w:instrText xml:space="preserve"> TOC \o "1-2" \n \h \z \u </w:instrText>
      </w:r>
      <w:r>
        <w:fldChar w:fldCharType="separate"/>
      </w:r>
      <w:hyperlink w:anchor="_Toc384902673" w:history="1">
        <w:r w:rsidR="00121BCD" w:rsidRPr="00527B11">
          <w:rPr>
            <w:rStyle w:val="Hyperlink"/>
            <w:noProof/>
          </w:rPr>
          <w:t>Budget Cent</w:t>
        </w:r>
        <w:r w:rsidR="00121BCD" w:rsidRPr="00527B11">
          <w:rPr>
            <w:rStyle w:val="Hyperlink"/>
            <w:noProof/>
          </w:rPr>
          <w:t>r</w:t>
        </w:r>
        <w:r w:rsidR="00121BCD" w:rsidRPr="00527B11">
          <w:rPr>
            <w:rStyle w:val="Hyperlink"/>
            <w:noProof/>
          </w:rPr>
          <w:t>e Planning Guidance</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674" w:history="1">
        <w:r w:rsidR="00121BCD" w:rsidRPr="00527B11">
          <w:rPr>
            <w:rStyle w:val="Hyperlink"/>
            <w:noProof/>
          </w:rPr>
          <w:t>Conte</w:t>
        </w:r>
        <w:r w:rsidR="00121BCD" w:rsidRPr="00527B11">
          <w:rPr>
            <w:rStyle w:val="Hyperlink"/>
            <w:noProof/>
          </w:rPr>
          <w:t>n</w:t>
        </w:r>
        <w:r w:rsidR="00121BCD" w:rsidRPr="00527B11">
          <w:rPr>
            <w:rStyle w:val="Hyperlink"/>
            <w:noProof/>
          </w:rPr>
          <w:t>t</w:t>
        </w:r>
        <w:r w:rsidR="00121BCD" w:rsidRPr="00527B11">
          <w:rPr>
            <w:rStyle w:val="Hyperlink"/>
            <w:noProof/>
          </w:rPr>
          <w:t>s</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675" w:history="1">
        <w:r w:rsidR="00121BCD" w:rsidRPr="00527B11">
          <w:rPr>
            <w:rStyle w:val="Hyperlink"/>
            <w:noProof/>
          </w:rPr>
          <w:t>Overall</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76" w:history="1">
        <w:r w:rsidR="00121BCD" w:rsidRPr="00527B11">
          <w:rPr>
            <w:rStyle w:val="Hyperlink"/>
            <w:noProof/>
          </w:rPr>
          <w:t>1.</w:t>
        </w:r>
        <w:r w:rsidR="00121BCD">
          <w:rPr>
            <w:rFonts w:asciiTheme="minorHAnsi" w:eastAsiaTheme="minorEastAsia" w:hAnsiTheme="minorHAnsi" w:cstheme="minorBidi"/>
            <w:noProof/>
            <w:lang w:eastAsia="en-GB"/>
          </w:rPr>
          <w:tab/>
        </w:r>
        <w:r w:rsidR="00121BCD" w:rsidRPr="00527B11">
          <w:rPr>
            <w:rStyle w:val="Hyperlink"/>
            <w:noProof/>
          </w:rPr>
          <w:t>O</w:t>
        </w:r>
        <w:r w:rsidR="00121BCD" w:rsidRPr="00527B11">
          <w:rPr>
            <w:rStyle w:val="Hyperlink"/>
            <w:noProof/>
          </w:rPr>
          <w:t>b</w:t>
        </w:r>
        <w:r w:rsidR="00121BCD" w:rsidRPr="00527B11">
          <w:rPr>
            <w:rStyle w:val="Hyperlink"/>
            <w:noProof/>
          </w:rPr>
          <w:t>jectives</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77" w:history="1">
        <w:r w:rsidR="00121BCD" w:rsidRPr="00527B11">
          <w:rPr>
            <w:rStyle w:val="Hyperlink"/>
            <w:noProof/>
          </w:rPr>
          <w:t>2.</w:t>
        </w:r>
        <w:r w:rsidR="00121BCD">
          <w:rPr>
            <w:rFonts w:asciiTheme="minorHAnsi" w:eastAsiaTheme="minorEastAsia" w:hAnsiTheme="minorHAnsi" w:cstheme="minorBidi"/>
            <w:noProof/>
            <w:lang w:eastAsia="en-GB"/>
          </w:rPr>
          <w:tab/>
        </w:r>
        <w:r w:rsidR="00121BCD" w:rsidRPr="00527B11">
          <w:rPr>
            <w:rStyle w:val="Hyperlink"/>
            <w:noProof/>
          </w:rPr>
          <w:t>Planning Cycle</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78" w:history="1">
        <w:r w:rsidR="00121BCD" w:rsidRPr="00527B11">
          <w:rPr>
            <w:rStyle w:val="Hyperlink"/>
            <w:noProof/>
          </w:rPr>
          <w:t>3.</w:t>
        </w:r>
        <w:r w:rsidR="00121BCD">
          <w:rPr>
            <w:rFonts w:asciiTheme="minorHAnsi" w:eastAsiaTheme="minorEastAsia" w:hAnsiTheme="minorHAnsi" w:cstheme="minorBidi"/>
            <w:noProof/>
            <w:lang w:eastAsia="en-GB"/>
          </w:rPr>
          <w:tab/>
        </w:r>
        <w:r w:rsidR="00121BCD" w:rsidRPr="00527B11">
          <w:rPr>
            <w:rStyle w:val="Hyperlink"/>
            <w:noProof/>
          </w:rPr>
          <w:t>Baseline Plans</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79" w:history="1">
        <w:r w:rsidR="00121BCD" w:rsidRPr="00527B11">
          <w:rPr>
            <w:rStyle w:val="Hyperlink"/>
            <w:noProof/>
          </w:rPr>
          <w:t>4.</w:t>
        </w:r>
        <w:r w:rsidR="00121BCD">
          <w:rPr>
            <w:rFonts w:asciiTheme="minorHAnsi" w:eastAsiaTheme="minorEastAsia" w:hAnsiTheme="minorHAnsi" w:cstheme="minorBidi"/>
            <w:noProof/>
            <w:lang w:eastAsia="en-GB"/>
          </w:rPr>
          <w:tab/>
        </w:r>
        <w:r w:rsidR="00121BCD" w:rsidRPr="00527B11">
          <w:rPr>
            <w:rStyle w:val="Hyperlink"/>
            <w:noProof/>
          </w:rPr>
          <w:t>Assumptions and Parameters</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80" w:history="1">
        <w:r w:rsidR="00121BCD" w:rsidRPr="00527B11">
          <w:rPr>
            <w:rStyle w:val="Hyperlink"/>
            <w:noProof/>
          </w:rPr>
          <w:t>5.</w:t>
        </w:r>
        <w:r w:rsidR="00121BCD">
          <w:rPr>
            <w:rFonts w:asciiTheme="minorHAnsi" w:eastAsiaTheme="minorEastAsia" w:hAnsiTheme="minorHAnsi" w:cstheme="minorBidi"/>
            <w:noProof/>
            <w:lang w:eastAsia="en-GB"/>
          </w:rPr>
          <w:tab/>
        </w:r>
        <w:r w:rsidR="00121BCD" w:rsidRPr="00527B11">
          <w:rPr>
            <w:rStyle w:val="Hyperlink"/>
            <w:noProof/>
          </w:rPr>
          <w:t>General Principles</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81" w:history="1">
        <w:r w:rsidR="00121BCD" w:rsidRPr="00527B11">
          <w:rPr>
            <w:rStyle w:val="Hyperlink"/>
            <w:noProof/>
          </w:rPr>
          <w:t>6.</w:t>
        </w:r>
        <w:r w:rsidR="00121BCD">
          <w:rPr>
            <w:rFonts w:asciiTheme="minorHAnsi" w:eastAsiaTheme="minorEastAsia" w:hAnsiTheme="minorHAnsi" w:cstheme="minorBidi"/>
            <w:noProof/>
            <w:lang w:eastAsia="en-GB"/>
          </w:rPr>
          <w:tab/>
        </w:r>
        <w:r w:rsidR="00121BCD" w:rsidRPr="00527B11">
          <w:rPr>
            <w:rStyle w:val="Hyperlink"/>
            <w:noProof/>
          </w:rPr>
          <w:t>Must/Should/May</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682" w:history="1">
        <w:r w:rsidR="00121BCD" w:rsidRPr="00527B11">
          <w:rPr>
            <w:rStyle w:val="Hyperlink"/>
            <w:noProof/>
          </w:rPr>
          <w:t>Income</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83" w:history="1">
        <w:r w:rsidR="00121BCD" w:rsidRPr="00527B11">
          <w:rPr>
            <w:rStyle w:val="Hyperlink"/>
            <w:noProof/>
          </w:rPr>
          <w:t>7.</w:t>
        </w:r>
        <w:r w:rsidR="00121BCD">
          <w:rPr>
            <w:rFonts w:asciiTheme="minorHAnsi" w:eastAsiaTheme="minorEastAsia" w:hAnsiTheme="minorHAnsi" w:cstheme="minorBidi"/>
            <w:noProof/>
            <w:lang w:eastAsia="en-GB"/>
          </w:rPr>
          <w:tab/>
        </w:r>
        <w:r w:rsidR="00121BCD" w:rsidRPr="00527B11">
          <w:rPr>
            <w:rStyle w:val="Hyperlink"/>
            <w:noProof/>
          </w:rPr>
          <w:t>Teaching income including bad debts</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84" w:history="1">
        <w:r w:rsidR="00121BCD" w:rsidRPr="00527B11">
          <w:rPr>
            <w:rStyle w:val="Hyperlink"/>
            <w:noProof/>
          </w:rPr>
          <w:t>8.</w:t>
        </w:r>
        <w:r w:rsidR="00121BCD">
          <w:rPr>
            <w:rFonts w:asciiTheme="minorHAnsi" w:eastAsiaTheme="minorEastAsia" w:hAnsiTheme="minorHAnsi" w:cstheme="minorBidi"/>
            <w:noProof/>
            <w:lang w:eastAsia="en-GB"/>
          </w:rPr>
          <w:tab/>
        </w:r>
        <w:r w:rsidR="00121BCD" w:rsidRPr="00527B11">
          <w:rPr>
            <w:rStyle w:val="Hyperlink"/>
            <w:noProof/>
          </w:rPr>
          <w:t>Research income including bad debt provision</w:t>
        </w:r>
      </w:hyperlink>
    </w:p>
    <w:p w:rsidR="00121BCD" w:rsidRDefault="00BA0908">
      <w:pPr>
        <w:pStyle w:val="TOC2"/>
        <w:tabs>
          <w:tab w:val="left" w:pos="660"/>
          <w:tab w:val="right" w:leader="dot" w:pos="9016"/>
        </w:tabs>
        <w:rPr>
          <w:rFonts w:asciiTheme="minorHAnsi" w:eastAsiaTheme="minorEastAsia" w:hAnsiTheme="minorHAnsi" w:cstheme="minorBidi"/>
          <w:noProof/>
          <w:lang w:eastAsia="en-GB"/>
        </w:rPr>
      </w:pPr>
      <w:hyperlink w:anchor="_Toc384902685" w:history="1">
        <w:r w:rsidR="00121BCD" w:rsidRPr="00527B11">
          <w:rPr>
            <w:rStyle w:val="Hyperlink"/>
            <w:noProof/>
          </w:rPr>
          <w:t>9.</w:t>
        </w:r>
        <w:r w:rsidR="00121BCD">
          <w:rPr>
            <w:rFonts w:asciiTheme="minorHAnsi" w:eastAsiaTheme="minorEastAsia" w:hAnsiTheme="minorHAnsi" w:cstheme="minorBidi"/>
            <w:noProof/>
            <w:lang w:eastAsia="en-GB"/>
          </w:rPr>
          <w:tab/>
        </w:r>
        <w:r w:rsidR="00121BCD" w:rsidRPr="00527B11">
          <w:rPr>
            <w:rStyle w:val="Hyperlink"/>
            <w:noProof/>
          </w:rPr>
          <w:t>Other income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686" w:history="1">
        <w:r w:rsidR="00121BCD" w:rsidRPr="00527B11">
          <w:rPr>
            <w:rStyle w:val="Hyperlink"/>
            <w:noProof/>
          </w:rPr>
          <w:t>10.</w:t>
        </w:r>
        <w:r w:rsidR="00121BCD">
          <w:rPr>
            <w:rFonts w:asciiTheme="minorHAnsi" w:eastAsiaTheme="minorEastAsia" w:hAnsiTheme="minorHAnsi" w:cstheme="minorBidi"/>
            <w:noProof/>
            <w:lang w:eastAsia="en-GB"/>
          </w:rPr>
          <w:tab/>
        </w:r>
        <w:r w:rsidR="00121BCD" w:rsidRPr="00527B11">
          <w:rPr>
            <w:rStyle w:val="Hyperlink"/>
            <w:noProof/>
          </w:rPr>
          <w:t>Endowment &amp; Investment Income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687" w:history="1">
        <w:r w:rsidR="00121BCD" w:rsidRPr="00527B11">
          <w:rPr>
            <w:rStyle w:val="Hyperlink"/>
            <w:noProof/>
          </w:rPr>
          <w:t>11.</w:t>
        </w:r>
        <w:r w:rsidR="00121BCD">
          <w:rPr>
            <w:rFonts w:asciiTheme="minorHAnsi" w:eastAsiaTheme="minorEastAsia" w:hAnsiTheme="minorHAnsi" w:cstheme="minorBidi"/>
            <w:noProof/>
            <w:lang w:eastAsia="en-GB"/>
          </w:rPr>
          <w:tab/>
        </w:r>
        <w:r w:rsidR="00121BCD" w:rsidRPr="00527B11">
          <w:rPr>
            <w:rStyle w:val="Hyperlink"/>
            <w:noProof/>
          </w:rPr>
          <w:t>Internal Income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688" w:history="1">
        <w:r w:rsidR="00121BCD" w:rsidRPr="00527B11">
          <w:rPr>
            <w:rStyle w:val="Hyperlink"/>
            <w:noProof/>
          </w:rPr>
          <w:t>12.</w:t>
        </w:r>
        <w:r w:rsidR="00121BCD">
          <w:rPr>
            <w:rFonts w:asciiTheme="minorHAnsi" w:eastAsiaTheme="minorEastAsia" w:hAnsiTheme="minorHAnsi" w:cstheme="minorBidi"/>
            <w:noProof/>
            <w:lang w:eastAsia="en-GB"/>
          </w:rPr>
          <w:tab/>
        </w:r>
        <w:r w:rsidR="00121BCD" w:rsidRPr="00527B11">
          <w:rPr>
            <w:rStyle w:val="Hyperlink"/>
            <w:noProof/>
          </w:rPr>
          <w:t>Internal Transfers</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689" w:history="1">
        <w:r w:rsidR="00121BCD" w:rsidRPr="00527B11">
          <w:rPr>
            <w:rStyle w:val="Hyperlink"/>
            <w:noProof/>
          </w:rPr>
          <w:t>Expenditure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690" w:history="1">
        <w:r w:rsidR="00121BCD" w:rsidRPr="00527B11">
          <w:rPr>
            <w:rStyle w:val="Hyperlink"/>
            <w:noProof/>
          </w:rPr>
          <w:t>13.</w:t>
        </w:r>
        <w:r w:rsidR="00121BCD">
          <w:rPr>
            <w:rFonts w:asciiTheme="minorHAnsi" w:eastAsiaTheme="minorEastAsia" w:hAnsiTheme="minorHAnsi" w:cstheme="minorBidi"/>
            <w:noProof/>
            <w:lang w:eastAsia="en-GB"/>
          </w:rPr>
          <w:tab/>
        </w:r>
        <w:r w:rsidR="00121BCD" w:rsidRPr="00527B11">
          <w:rPr>
            <w:rStyle w:val="Hyperlink"/>
            <w:noProof/>
          </w:rPr>
          <w:t>Staff costs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691" w:history="1">
        <w:r w:rsidR="00121BCD" w:rsidRPr="00527B11">
          <w:rPr>
            <w:rStyle w:val="Hyperlink"/>
            <w:noProof/>
          </w:rPr>
          <w:t>14.</w:t>
        </w:r>
        <w:r w:rsidR="00121BCD">
          <w:rPr>
            <w:rFonts w:asciiTheme="minorHAnsi" w:eastAsiaTheme="minorEastAsia" w:hAnsiTheme="minorHAnsi" w:cstheme="minorBidi"/>
            <w:noProof/>
            <w:lang w:eastAsia="en-GB"/>
          </w:rPr>
          <w:tab/>
        </w:r>
        <w:r w:rsidR="00121BCD" w:rsidRPr="00527B11">
          <w:rPr>
            <w:rStyle w:val="Hyperlink"/>
            <w:noProof/>
          </w:rPr>
          <w:t>Staff Provisions:</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2" w:history="1">
        <w:r w:rsidR="00121BCD" w:rsidRPr="00527B11">
          <w:rPr>
            <w:rStyle w:val="Hyperlink"/>
            <w:noProof/>
          </w:rPr>
          <w:t>14.1.</w:t>
        </w:r>
        <w:r w:rsidR="00121BCD">
          <w:rPr>
            <w:rFonts w:asciiTheme="minorHAnsi" w:eastAsiaTheme="minorEastAsia" w:hAnsiTheme="minorHAnsi" w:cstheme="minorBidi"/>
            <w:noProof/>
            <w:lang w:eastAsia="en-GB"/>
          </w:rPr>
          <w:tab/>
        </w:r>
        <w:r w:rsidR="00121BCD" w:rsidRPr="00527B11">
          <w:rPr>
            <w:rStyle w:val="Hyperlink"/>
            <w:noProof/>
          </w:rPr>
          <w:t>Vacant post provision</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3" w:history="1">
        <w:r w:rsidR="00121BCD" w:rsidRPr="00527B11">
          <w:rPr>
            <w:rStyle w:val="Hyperlink"/>
            <w:noProof/>
          </w:rPr>
          <w:t>14.2.</w:t>
        </w:r>
        <w:r w:rsidR="00121BCD">
          <w:rPr>
            <w:rFonts w:asciiTheme="minorHAnsi" w:eastAsiaTheme="minorEastAsia" w:hAnsiTheme="minorHAnsi" w:cstheme="minorBidi"/>
            <w:noProof/>
            <w:lang w:eastAsia="en-GB"/>
          </w:rPr>
          <w:tab/>
        </w:r>
        <w:r w:rsidR="00121BCD" w:rsidRPr="00527B11">
          <w:rPr>
            <w:rStyle w:val="Hyperlink"/>
            <w:noProof/>
          </w:rPr>
          <w:t>Bonus provision</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4" w:history="1">
        <w:r w:rsidR="00121BCD" w:rsidRPr="00527B11">
          <w:rPr>
            <w:rStyle w:val="Hyperlink"/>
            <w:noProof/>
          </w:rPr>
          <w:t>14.3.</w:t>
        </w:r>
        <w:r w:rsidR="00121BCD">
          <w:rPr>
            <w:rFonts w:asciiTheme="minorHAnsi" w:eastAsiaTheme="minorEastAsia" w:hAnsiTheme="minorHAnsi" w:cstheme="minorBidi"/>
            <w:noProof/>
            <w:lang w:eastAsia="en-GB"/>
          </w:rPr>
          <w:tab/>
        </w:r>
        <w:r w:rsidR="00121BCD" w:rsidRPr="00527B11">
          <w:rPr>
            <w:rStyle w:val="Hyperlink"/>
            <w:noProof/>
          </w:rPr>
          <w:t>Merit pay provision</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5" w:history="1">
        <w:r w:rsidR="00121BCD" w:rsidRPr="00527B11">
          <w:rPr>
            <w:rStyle w:val="Hyperlink"/>
            <w:noProof/>
          </w:rPr>
          <w:t>14.4.</w:t>
        </w:r>
        <w:r w:rsidR="00121BCD">
          <w:rPr>
            <w:rFonts w:asciiTheme="minorHAnsi" w:eastAsiaTheme="minorEastAsia" w:hAnsiTheme="minorHAnsi" w:cstheme="minorBidi"/>
            <w:noProof/>
            <w:lang w:eastAsia="en-GB"/>
          </w:rPr>
          <w:tab/>
        </w:r>
        <w:r w:rsidR="00121BCD" w:rsidRPr="00527B11">
          <w:rPr>
            <w:rStyle w:val="Hyperlink"/>
            <w:noProof/>
          </w:rPr>
          <w:t>Professorial/non-spinal pay provision</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6" w:history="1">
        <w:r w:rsidR="00121BCD" w:rsidRPr="00527B11">
          <w:rPr>
            <w:rStyle w:val="Hyperlink"/>
            <w:noProof/>
          </w:rPr>
          <w:t>14.5.</w:t>
        </w:r>
        <w:r w:rsidR="00121BCD">
          <w:rPr>
            <w:rFonts w:asciiTheme="minorHAnsi" w:eastAsiaTheme="minorEastAsia" w:hAnsiTheme="minorHAnsi" w:cstheme="minorBidi"/>
            <w:noProof/>
            <w:lang w:eastAsia="en-GB"/>
          </w:rPr>
          <w:tab/>
        </w:r>
        <w:r w:rsidR="00121BCD" w:rsidRPr="00527B11">
          <w:rPr>
            <w:rStyle w:val="Hyperlink"/>
            <w:noProof/>
          </w:rPr>
          <w:t>Salary re-grades/promotions provisions</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7" w:history="1">
        <w:r w:rsidR="00121BCD" w:rsidRPr="00527B11">
          <w:rPr>
            <w:rStyle w:val="Hyperlink"/>
            <w:noProof/>
          </w:rPr>
          <w:t>14.6.</w:t>
        </w:r>
        <w:r w:rsidR="00121BCD">
          <w:rPr>
            <w:rFonts w:asciiTheme="minorHAnsi" w:eastAsiaTheme="minorEastAsia" w:hAnsiTheme="minorHAnsi" w:cstheme="minorBidi"/>
            <w:noProof/>
            <w:lang w:eastAsia="en-GB"/>
          </w:rPr>
          <w:tab/>
        </w:r>
        <w:r w:rsidR="00121BCD" w:rsidRPr="00527B11">
          <w:rPr>
            <w:rStyle w:val="Hyperlink"/>
            <w:noProof/>
          </w:rPr>
          <w:t>“Absence” Provisions</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8" w:history="1">
        <w:r w:rsidR="00121BCD" w:rsidRPr="00527B11">
          <w:rPr>
            <w:rStyle w:val="Hyperlink"/>
            <w:noProof/>
          </w:rPr>
          <w:t>14.7.</w:t>
        </w:r>
        <w:r w:rsidR="00121BCD">
          <w:rPr>
            <w:rFonts w:asciiTheme="minorHAnsi" w:eastAsiaTheme="minorEastAsia" w:hAnsiTheme="minorHAnsi" w:cstheme="minorBidi"/>
            <w:noProof/>
            <w:lang w:eastAsia="en-GB"/>
          </w:rPr>
          <w:tab/>
        </w:r>
        <w:r w:rsidR="00121BCD" w:rsidRPr="00527B11">
          <w:rPr>
            <w:rStyle w:val="Hyperlink"/>
            <w:noProof/>
          </w:rPr>
          <w:t>Vacancy savings</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699" w:history="1">
        <w:r w:rsidR="00121BCD" w:rsidRPr="00527B11">
          <w:rPr>
            <w:rStyle w:val="Hyperlink"/>
            <w:noProof/>
          </w:rPr>
          <w:t>14.8.</w:t>
        </w:r>
        <w:r w:rsidR="00121BCD">
          <w:rPr>
            <w:rFonts w:asciiTheme="minorHAnsi" w:eastAsiaTheme="minorEastAsia" w:hAnsiTheme="minorHAnsi" w:cstheme="minorBidi"/>
            <w:noProof/>
            <w:lang w:eastAsia="en-GB"/>
          </w:rPr>
          <w:tab/>
        </w:r>
        <w:r w:rsidR="00121BCD" w:rsidRPr="00527B11">
          <w:rPr>
            <w:rStyle w:val="Hyperlink"/>
            <w:noProof/>
          </w:rPr>
          <w:t>Maternity provision</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700" w:history="1">
        <w:r w:rsidR="00121BCD" w:rsidRPr="00527B11">
          <w:rPr>
            <w:rStyle w:val="Hyperlink"/>
            <w:noProof/>
          </w:rPr>
          <w:t>14.9.</w:t>
        </w:r>
        <w:r w:rsidR="00121BCD">
          <w:rPr>
            <w:rFonts w:asciiTheme="minorHAnsi" w:eastAsiaTheme="minorEastAsia" w:hAnsiTheme="minorHAnsi" w:cstheme="minorBidi"/>
            <w:noProof/>
            <w:lang w:eastAsia="en-GB"/>
          </w:rPr>
          <w:tab/>
        </w:r>
        <w:r w:rsidR="00121BCD" w:rsidRPr="00527B11">
          <w:rPr>
            <w:rStyle w:val="Hyperlink"/>
            <w:noProof/>
          </w:rPr>
          <w:t>Long term sickness provision</w:t>
        </w:r>
      </w:hyperlink>
    </w:p>
    <w:p w:rsidR="00121BCD" w:rsidRDefault="00BA0908">
      <w:pPr>
        <w:pStyle w:val="TOC2"/>
        <w:tabs>
          <w:tab w:val="left" w:pos="1100"/>
          <w:tab w:val="right" w:leader="dot" w:pos="9016"/>
        </w:tabs>
        <w:rPr>
          <w:rFonts w:asciiTheme="minorHAnsi" w:eastAsiaTheme="minorEastAsia" w:hAnsiTheme="minorHAnsi" w:cstheme="minorBidi"/>
          <w:noProof/>
          <w:lang w:eastAsia="en-GB"/>
        </w:rPr>
      </w:pPr>
      <w:hyperlink w:anchor="_Toc384902701" w:history="1">
        <w:r w:rsidR="00121BCD" w:rsidRPr="00527B11">
          <w:rPr>
            <w:rStyle w:val="Hyperlink"/>
            <w:noProof/>
          </w:rPr>
          <w:t>14.10.</w:t>
        </w:r>
        <w:r w:rsidR="00121BCD">
          <w:rPr>
            <w:rFonts w:asciiTheme="minorHAnsi" w:eastAsiaTheme="minorEastAsia" w:hAnsiTheme="minorHAnsi" w:cstheme="minorBidi"/>
            <w:noProof/>
            <w:lang w:eastAsia="en-GB"/>
          </w:rPr>
          <w:tab/>
        </w:r>
        <w:r w:rsidR="00121BCD" w:rsidRPr="00527B11">
          <w:rPr>
            <w:rStyle w:val="Hyperlink"/>
            <w:noProof/>
          </w:rPr>
          <w:t>Temporary staff related provisions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2" w:history="1">
        <w:r w:rsidR="00121BCD" w:rsidRPr="00527B11">
          <w:rPr>
            <w:rStyle w:val="Hyperlink"/>
            <w:noProof/>
          </w:rPr>
          <w:t>15.</w:t>
        </w:r>
        <w:r w:rsidR="00121BCD">
          <w:rPr>
            <w:rFonts w:asciiTheme="minorHAnsi" w:eastAsiaTheme="minorEastAsia" w:hAnsiTheme="minorHAnsi" w:cstheme="minorBidi"/>
            <w:noProof/>
            <w:lang w:eastAsia="en-GB"/>
          </w:rPr>
          <w:tab/>
        </w:r>
        <w:r w:rsidR="00121BCD" w:rsidRPr="00527B11">
          <w:rPr>
            <w:rStyle w:val="Hyperlink"/>
            <w:noProof/>
          </w:rPr>
          <w:t>Staff FTE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3" w:history="1">
        <w:r w:rsidR="00121BCD" w:rsidRPr="00527B11">
          <w:rPr>
            <w:rStyle w:val="Hyperlink"/>
            <w:noProof/>
          </w:rPr>
          <w:t>16.</w:t>
        </w:r>
        <w:r w:rsidR="00121BCD">
          <w:rPr>
            <w:rFonts w:asciiTheme="minorHAnsi" w:eastAsiaTheme="minorEastAsia" w:hAnsiTheme="minorHAnsi" w:cstheme="minorBidi"/>
            <w:noProof/>
            <w:lang w:eastAsia="en-GB"/>
          </w:rPr>
          <w:tab/>
        </w:r>
        <w:r w:rsidR="00121BCD" w:rsidRPr="00527B11">
          <w:rPr>
            <w:rStyle w:val="Hyperlink"/>
            <w:noProof/>
          </w:rPr>
          <w:t>Researc</w:t>
        </w:r>
        <w:r w:rsidR="00121BCD" w:rsidRPr="00527B11">
          <w:rPr>
            <w:rStyle w:val="Hyperlink"/>
            <w:noProof/>
          </w:rPr>
          <w:t>h</w:t>
        </w:r>
        <w:r w:rsidR="00121BCD" w:rsidRPr="00527B11">
          <w:rPr>
            <w:rStyle w:val="Hyperlink"/>
            <w:noProof/>
          </w:rPr>
          <w:t xml:space="preserve"> Staff Costs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4" w:history="1">
        <w:r w:rsidR="00121BCD" w:rsidRPr="00527B11">
          <w:rPr>
            <w:rStyle w:val="Hyperlink"/>
            <w:noProof/>
          </w:rPr>
          <w:t>17.</w:t>
        </w:r>
        <w:r w:rsidR="00121BCD">
          <w:rPr>
            <w:rFonts w:asciiTheme="minorHAnsi" w:eastAsiaTheme="minorEastAsia" w:hAnsiTheme="minorHAnsi" w:cstheme="minorBidi"/>
            <w:noProof/>
            <w:lang w:eastAsia="en-GB"/>
          </w:rPr>
          <w:tab/>
        </w:r>
        <w:r w:rsidR="00121BCD" w:rsidRPr="00527B11">
          <w:rPr>
            <w:rStyle w:val="Hyperlink"/>
            <w:noProof/>
          </w:rPr>
          <w:t>Research Other Costs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5" w:history="1">
        <w:r w:rsidR="00121BCD" w:rsidRPr="00527B11">
          <w:rPr>
            <w:rStyle w:val="Hyperlink"/>
            <w:noProof/>
          </w:rPr>
          <w:t>18.</w:t>
        </w:r>
        <w:r w:rsidR="00121BCD">
          <w:rPr>
            <w:rFonts w:asciiTheme="minorHAnsi" w:eastAsiaTheme="minorEastAsia" w:hAnsiTheme="minorHAnsi" w:cstheme="minorBidi"/>
            <w:noProof/>
            <w:lang w:eastAsia="en-GB"/>
          </w:rPr>
          <w:tab/>
        </w:r>
        <w:r w:rsidR="00121BCD" w:rsidRPr="00527B11">
          <w:rPr>
            <w:rStyle w:val="Hyperlink"/>
            <w:noProof/>
          </w:rPr>
          <w:t>Student Finance Support – Bursaries and Scholarships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6" w:history="1">
        <w:r w:rsidR="00121BCD" w:rsidRPr="00527B11">
          <w:rPr>
            <w:rStyle w:val="Hyperlink"/>
            <w:noProof/>
          </w:rPr>
          <w:t>19.</w:t>
        </w:r>
        <w:r w:rsidR="00121BCD">
          <w:rPr>
            <w:rFonts w:asciiTheme="minorHAnsi" w:eastAsiaTheme="minorEastAsia" w:hAnsiTheme="minorHAnsi" w:cstheme="minorBidi"/>
            <w:noProof/>
            <w:lang w:eastAsia="en-GB"/>
          </w:rPr>
          <w:tab/>
        </w:r>
        <w:r w:rsidR="00121BCD" w:rsidRPr="00527B11">
          <w:rPr>
            <w:rStyle w:val="Hyperlink"/>
            <w:noProof/>
          </w:rPr>
          <w:t>Operational expenditure/Non Pay</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7" w:history="1">
        <w:r w:rsidR="00121BCD" w:rsidRPr="00527B11">
          <w:rPr>
            <w:rStyle w:val="Hyperlink"/>
            <w:noProof/>
          </w:rPr>
          <w:t>20.</w:t>
        </w:r>
        <w:r w:rsidR="00121BCD">
          <w:rPr>
            <w:rFonts w:asciiTheme="minorHAnsi" w:eastAsiaTheme="minorEastAsia" w:hAnsiTheme="minorHAnsi" w:cstheme="minorBidi"/>
            <w:noProof/>
            <w:lang w:eastAsia="en-GB"/>
          </w:rPr>
          <w:tab/>
        </w:r>
        <w:r w:rsidR="00121BCD" w:rsidRPr="00527B11">
          <w:rPr>
            <w:rStyle w:val="Hyperlink"/>
            <w:noProof/>
          </w:rPr>
          <w:t>Library Costs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8" w:history="1">
        <w:r w:rsidR="00121BCD" w:rsidRPr="00527B11">
          <w:rPr>
            <w:rStyle w:val="Hyperlink"/>
            <w:noProof/>
          </w:rPr>
          <w:t>21.</w:t>
        </w:r>
        <w:r w:rsidR="00121BCD">
          <w:rPr>
            <w:rFonts w:asciiTheme="minorHAnsi" w:eastAsiaTheme="minorEastAsia" w:hAnsiTheme="minorHAnsi" w:cstheme="minorBidi"/>
            <w:noProof/>
            <w:lang w:eastAsia="en-GB"/>
          </w:rPr>
          <w:tab/>
        </w:r>
        <w:r w:rsidR="00121BCD" w:rsidRPr="00527B11">
          <w:rPr>
            <w:rStyle w:val="Hyperlink"/>
            <w:noProof/>
          </w:rPr>
          <w:t>Space including provisions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09" w:history="1">
        <w:r w:rsidR="00121BCD" w:rsidRPr="00527B11">
          <w:rPr>
            <w:rStyle w:val="Hyperlink"/>
            <w:noProof/>
          </w:rPr>
          <w:t>22.</w:t>
        </w:r>
        <w:r w:rsidR="00121BCD">
          <w:rPr>
            <w:rFonts w:asciiTheme="minorHAnsi" w:eastAsiaTheme="minorEastAsia" w:hAnsiTheme="minorHAnsi" w:cstheme="minorBidi"/>
            <w:noProof/>
            <w:lang w:eastAsia="en-GB"/>
          </w:rPr>
          <w:tab/>
        </w:r>
        <w:r w:rsidR="00121BCD" w:rsidRPr="00527B11">
          <w:rPr>
            <w:rStyle w:val="Hyperlink"/>
            <w:noProof/>
          </w:rPr>
          <w:t>Utilities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0" w:history="1">
        <w:r w:rsidR="00121BCD" w:rsidRPr="00527B11">
          <w:rPr>
            <w:rStyle w:val="Hyperlink"/>
            <w:noProof/>
          </w:rPr>
          <w:t>23.</w:t>
        </w:r>
        <w:r w:rsidR="00121BCD">
          <w:rPr>
            <w:rFonts w:asciiTheme="minorHAnsi" w:eastAsiaTheme="minorEastAsia" w:hAnsiTheme="minorHAnsi" w:cstheme="minorBidi"/>
            <w:noProof/>
            <w:lang w:eastAsia="en-GB"/>
          </w:rPr>
          <w:tab/>
        </w:r>
        <w:r w:rsidR="00121BCD" w:rsidRPr="00527B11">
          <w:rPr>
            <w:rStyle w:val="Hyperlink"/>
            <w:noProof/>
          </w:rPr>
          <w:t>Contingencies</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711" w:history="1">
        <w:r w:rsidR="00121BCD" w:rsidRPr="00527B11">
          <w:rPr>
            <w:rStyle w:val="Hyperlink"/>
            <w:noProof/>
          </w:rPr>
          <w:t>Other Guidance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2" w:history="1">
        <w:r w:rsidR="00121BCD" w:rsidRPr="00527B11">
          <w:rPr>
            <w:rStyle w:val="Hyperlink"/>
            <w:noProof/>
          </w:rPr>
          <w:t>24.</w:t>
        </w:r>
        <w:r w:rsidR="00121BCD">
          <w:rPr>
            <w:rFonts w:asciiTheme="minorHAnsi" w:eastAsiaTheme="minorEastAsia" w:hAnsiTheme="minorHAnsi" w:cstheme="minorBidi"/>
            <w:noProof/>
            <w:lang w:eastAsia="en-GB"/>
          </w:rPr>
          <w:tab/>
        </w:r>
        <w:r w:rsidR="00121BCD" w:rsidRPr="00527B11">
          <w:rPr>
            <w:rStyle w:val="Hyperlink"/>
            <w:noProof/>
          </w:rPr>
          <w:t>Budget centre investment budget</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3" w:history="1">
        <w:r w:rsidR="00121BCD" w:rsidRPr="00527B11">
          <w:rPr>
            <w:rStyle w:val="Hyperlink"/>
            <w:noProof/>
          </w:rPr>
          <w:t>25.</w:t>
        </w:r>
        <w:r w:rsidR="00121BCD">
          <w:rPr>
            <w:rFonts w:asciiTheme="minorHAnsi" w:eastAsiaTheme="minorEastAsia" w:hAnsiTheme="minorHAnsi" w:cstheme="minorBidi"/>
            <w:noProof/>
            <w:lang w:eastAsia="en-GB"/>
          </w:rPr>
          <w:tab/>
        </w:r>
        <w:r w:rsidR="00121BCD" w:rsidRPr="00527B11">
          <w:rPr>
            <w:rStyle w:val="Hyperlink"/>
            <w:noProof/>
          </w:rPr>
          <w:t>Central Investment Budget</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4" w:history="1">
        <w:r w:rsidR="00121BCD" w:rsidRPr="00527B11">
          <w:rPr>
            <w:rStyle w:val="Hyperlink"/>
            <w:noProof/>
          </w:rPr>
          <w:t>26.</w:t>
        </w:r>
        <w:r w:rsidR="00121BCD">
          <w:rPr>
            <w:rFonts w:asciiTheme="minorHAnsi" w:eastAsiaTheme="minorEastAsia" w:hAnsiTheme="minorHAnsi" w:cstheme="minorBidi"/>
            <w:noProof/>
            <w:lang w:eastAsia="en-GB"/>
          </w:rPr>
          <w:tab/>
        </w:r>
        <w:r w:rsidR="00121BCD" w:rsidRPr="00527B11">
          <w:rPr>
            <w:rStyle w:val="Hyperlink"/>
            <w:noProof/>
          </w:rPr>
          <w:t>Capital Expenditure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5" w:history="1">
        <w:r w:rsidR="00121BCD" w:rsidRPr="00527B11">
          <w:rPr>
            <w:rStyle w:val="Hyperlink"/>
            <w:noProof/>
          </w:rPr>
          <w:t>27.</w:t>
        </w:r>
        <w:r w:rsidR="00121BCD">
          <w:rPr>
            <w:rFonts w:asciiTheme="minorHAnsi" w:eastAsiaTheme="minorEastAsia" w:hAnsiTheme="minorHAnsi" w:cstheme="minorBidi"/>
            <w:noProof/>
            <w:lang w:eastAsia="en-GB"/>
          </w:rPr>
          <w:tab/>
        </w:r>
        <w:r w:rsidR="00121BCD" w:rsidRPr="00527B11">
          <w:rPr>
            <w:rStyle w:val="Hyperlink"/>
            <w:noProof/>
          </w:rPr>
          <w:t>Capital ‘revenue’ expenditure</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6" w:history="1">
        <w:r w:rsidR="00121BCD" w:rsidRPr="00527B11">
          <w:rPr>
            <w:rStyle w:val="Hyperlink"/>
            <w:noProof/>
          </w:rPr>
          <w:t>28.</w:t>
        </w:r>
        <w:r w:rsidR="00121BCD">
          <w:rPr>
            <w:rFonts w:asciiTheme="minorHAnsi" w:eastAsiaTheme="minorEastAsia" w:hAnsiTheme="minorHAnsi" w:cstheme="minorBidi"/>
            <w:noProof/>
            <w:lang w:eastAsia="en-GB"/>
          </w:rPr>
          <w:tab/>
        </w:r>
        <w:r w:rsidR="00121BCD" w:rsidRPr="00527B11">
          <w:rPr>
            <w:rStyle w:val="Hyperlink"/>
            <w:noProof/>
          </w:rPr>
          <w:t>Finance v Operating leases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7" w:history="1">
        <w:r w:rsidR="00121BCD" w:rsidRPr="00527B11">
          <w:rPr>
            <w:rStyle w:val="Hyperlink"/>
            <w:noProof/>
          </w:rPr>
          <w:t>29.</w:t>
        </w:r>
        <w:r w:rsidR="00121BCD">
          <w:rPr>
            <w:rFonts w:asciiTheme="minorHAnsi" w:eastAsiaTheme="minorEastAsia" w:hAnsiTheme="minorHAnsi" w:cstheme="minorBidi"/>
            <w:noProof/>
            <w:lang w:eastAsia="en-GB"/>
          </w:rPr>
          <w:tab/>
        </w:r>
        <w:r w:rsidR="00121BCD" w:rsidRPr="00527B11">
          <w:rPr>
            <w:rStyle w:val="Hyperlink"/>
            <w:noProof/>
          </w:rPr>
          <w:t>Research strategies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8" w:history="1">
        <w:r w:rsidR="00121BCD" w:rsidRPr="00527B11">
          <w:rPr>
            <w:rStyle w:val="Hyperlink"/>
            <w:noProof/>
          </w:rPr>
          <w:t>30.</w:t>
        </w:r>
        <w:r w:rsidR="00121BCD">
          <w:rPr>
            <w:rFonts w:asciiTheme="minorHAnsi" w:eastAsiaTheme="minorEastAsia" w:hAnsiTheme="minorHAnsi" w:cstheme="minorBidi"/>
            <w:noProof/>
            <w:lang w:eastAsia="en-GB"/>
          </w:rPr>
          <w:tab/>
        </w:r>
        <w:r w:rsidR="00121BCD" w:rsidRPr="00527B11">
          <w:rPr>
            <w:rStyle w:val="Hyperlink"/>
            <w:noProof/>
          </w:rPr>
          <w:t>RKT Investment Strategies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19" w:history="1">
        <w:r w:rsidR="00121BCD" w:rsidRPr="00527B11">
          <w:rPr>
            <w:rStyle w:val="Hyperlink"/>
            <w:noProof/>
          </w:rPr>
          <w:t>31.</w:t>
        </w:r>
        <w:r w:rsidR="00121BCD">
          <w:rPr>
            <w:rFonts w:asciiTheme="minorHAnsi" w:eastAsiaTheme="minorEastAsia" w:hAnsiTheme="minorHAnsi" w:cstheme="minorBidi"/>
            <w:noProof/>
            <w:lang w:eastAsia="en-GB"/>
          </w:rPr>
          <w:tab/>
        </w:r>
        <w:r w:rsidR="00121BCD" w:rsidRPr="00527B11">
          <w:rPr>
            <w:rStyle w:val="Hyperlink"/>
            <w:noProof/>
          </w:rPr>
          <w:t>New programmes/course pricing and costing</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20" w:history="1">
        <w:r w:rsidR="00121BCD" w:rsidRPr="00527B11">
          <w:rPr>
            <w:rStyle w:val="Hyperlink"/>
            <w:noProof/>
          </w:rPr>
          <w:t>32.</w:t>
        </w:r>
        <w:r w:rsidR="00121BCD">
          <w:rPr>
            <w:rFonts w:asciiTheme="minorHAnsi" w:eastAsiaTheme="minorEastAsia" w:hAnsiTheme="minorHAnsi" w:cstheme="minorBidi"/>
            <w:noProof/>
            <w:lang w:eastAsia="en-GB"/>
          </w:rPr>
          <w:tab/>
        </w:r>
        <w:r w:rsidR="00121BCD" w:rsidRPr="00527B11">
          <w:rPr>
            <w:rStyle w:val="Hyperlink"/>
            <w:noProof/>
          </w:rPr>
          <w:t>Bids (External)</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21" w:history="1">
        <w:r w:rsidR="00121BCD" w:rsidRPr="00527B11">
          <w:rPr>
            <w:rStyle w:val="Hyperlink"/>
            <w:noProof/>
          </w:rPr>
          <w:t>33.</w:t>
        </w:r>
        <w:r w:rsidR="00121BCD">
          <w:rPr>
            <w:rFonts w:asciiTheme="minorHAnsi" w:eastAsiaTheme="minorEastAsia" w:hAnsiTheme="minorHAnsi" w:cstheme="minorBidi"/>
            <w:noProof/>
            <w:lang w:eastAsia="en-GB"/>
          </w:rPr>
          <w:tab/>
        </w:r>
        <w:r w:rsidR="00121BCD" w:rsidRPr="00527B11">
          <w:rPr>
            <w:rStyle w:val="Hyperlink"/>
            <w:noProof/>
          </w:rPr>
          <w:t>Professional Development Accounts (PDAs)</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722" w:history="1">
        <w:r w:rsidR="00121BCD" w:rsidRPr="00527B11">
          <w:rPr>
            <w:rStyle w:val="Hyperlink"/>
            <w:noProof/>
          </w:rPr>
          <w:t>Outputs/Reports</w:t>
        </w:r>
      </w:hyperlink>
    </w:p>
    <w:p w:rsidR="00121BCD" w:rsidRDefault="00BA0908">
      <w:pPr>
        <w:pStyle w:val="TOC2"/>
        <w:tabs>
          <w:tab w:val="left" w:pos="880"/>
          <w:tab w:val="right" w:leader="dot" w:pos="9016"/>
        </w:tabs>
        <w:rPr>
          <w:rFonts w:asciiTheme="minorHAnsi" w:eastAsiaTheme="minorEastAsia" w:hAnsiTheme="minorHAnsi" w:cstheme="minorBidi"/>
          <w:noProof/>
          <w:lang w:eastAsia="en-GB"/>
        </w:rPr>
      </w:pPr>
      <w:hyperlink w:anchor="_Toc384902723" w:history="1">
        <w:r w:rsidR="00121BCD" w:rsidRPr="00527B11">
          <w:rPr>
            <w:rStyle w:val="Hyperlink"/>
            <w:noProof/>
          </w:rPr>
          <w:t>34.</w:t>
        </w:r>
        <w:r w:rsidR="00121BCD">
          <w:rPr>
            <w:rFonts w:asciiTheme="minorHAnsi" w:eastAsiaTheme="minorEastAsia" w:hAnsiTheme="minorHAnsi" w:cstheme="minorBidi"/>
            <w:noProof/>
            <w:lang w:eastAsia="en-GB"/>
          </w:rPr>
          <w:tab/>
        </w:r>
        <w:r w:rsidR="00121BCD" w:rsidRPr="00527B11">
          <w:rPr>
            <w:rStyle w:val="Hyperlink"/>
            <w:noProof/>
          </w:rPr>
          <w:t>Negatives, Brackets and Accounting Sense</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724" w:history="1">
        <w:r w:rsidR="00121BCD" w:rsidRPr="00527B11">
          <w:rPr>
            <w:rStyle w:val="Hyperlink"/>
            <w:noProof/>
          </w:rPr>
          <w:t>Appendix 1: Glossary</w:t>
        </w:r>
      </w:hyperlink>
    </w:p>
    <w:p w:rsidR="00121BCD" w:rsidRDefault="00BA0908">
      <w:pPr>
        <w:pStyle w:val="TOC1"/>
        <w:tabs>
          <w:tab w:val="right" w:leader="dot" w:pos="9016"/>
        </w:tabs>
        <w:rPr>
          <w:rFonts w:asciiTheme="minorHAnsi" w:eastAsiaTheme="minorEastAsia" w:hAnsiTheme="minorHAnsi" w:cstheme="minorBidi"/>
          <w:noProof/>
          <w:lang w:eastAsia="en-GB"/>
        </w:rPr>
      </w:pPr>
      <w:hyperlink w:anchor="_Toc384902725" w:history="1">
        <w:r w:rsidR="00121BCD" w:rsidRPr="00527B11">
          <w:rPr>
            <w:rStyle w:val="Hyperlink"/>
            <w:noProof/>
          </w:rPr>
          <w:t>Appendix 2: Key Contact Details</w:t>
        </w:r>
      </w:hyperlink>
    </w:p>
    <w:p w:rsidR="00DB5E66" w:rsidRPr="00DB5E66" w:rsidRDefault="006B1C91" w:rsidP="00DB5E66">
      <w:r>
        <w:fldChar w:fldCharType="end"/>
      </w:r>
    </w:p>
    <w:p w:rsidR="002F7CC5" w:rsidRDefault="002F7CC5" w:rsidP="002F7CC5">
      <w:pPr>
        <w:pStyle w:val="Heading1"/>
      </w:pPr>
      <w:bookmarkStart w:id="2" w:name="_Toc384902675"/>
      <w:bookmarkStart w:id="3" w:name="_Ref348086016"/>
      <w:bookmarkStart w:id="4" w:name="_Ref348618140"/>
      <w:r>
        <w:t>Overall</w:t>
      </w:r>
      <w:bookmarkEnd w:id="2"/>
    </w:p>
    <w:p w:rsidR="001068E0" w:rsidRPr="008628F4" w:rsidRDefault="00AD65B1" w:rsidP="00B72527">
      <w:pPr>
        <w:pStyle w:val="Heading2"/>
      </w:pPr>
      <w:bookmarkStart w:id="5" w:name="_Toc384902676"/>
      <w:r w:rsidRPr="008628F4">
        <w:t>Objectives</w:t>
      </w:r>
      <w:bookmarkEnd w:id="3"/>
      <w:bookmarkEnd w:id="4"/>
      <w:bookmarkEnd w:id="5"/>
    </w:p>
    <w:p w:rsidR="00AD65B1" w:rsidRDefault="00C74E8B">
      <w:r>
        <w:t>In preparing their medium term plans Colleges and Services are reminded that Council requires</w:t>
      </w:r>
      <w:r w:rsidR="00AD65B1">
        <w:t xml:space="preserve"> a substantial increase in contribution in order to fund capital investment and new debt.</w:t>
      </w:r>
      <w:r w:rsidR="00817B13">
        <w:t xml:space="preserve">  </w:t>
      </w:r>
      <w:r w:rsidR="00AD65B1">
        <w:t xml:space="preserve"> </w:t>
      </w:r>
    </w:p>
    <w:p w:rsidR="00C74E8B" w:rsidRDefault="00AD65B1">
      <w:r>
        <w:t xml:space="preserve">The datum point for the increase in contribution is the baseline, </w:t>
      </w:r>
      <w:r w:rsidR="00C177C6">
        <w:t>i.e.</w:t>
      </w:r>
      <w:r>
        <w:t xml:space="preserve"> the increase in contribution </w:t>
      </w:r>
      <w:r w:rsidR="008A2DE3" w:rsidRPr="0095208B">
        <w:t>should</w:t>
      </w:r>
      <w:r>
        <w:t xml:space="preserve"> be over the baseline not comparing growth in one year to the previous year. Council are expecting the improvement in contribution to be front-end loaded over the planning period</w:t>
      </w:r>
      <w:r w:rsidR="00113B1F">
        <w:t>.</w:t>
      </w:r>
      <w:r w:rsidR="00C74E8B">
        <w:t xml:space="preserve">  </w:t>
      </w:r>
    </w:p>
    <w:p w:rsidR="00240376" w:rsidRDefault="00240376" w:rsidP="00B72527">
      <w:pPr>
        <w:pStyle w:val="Heading2"/>
      </w:pPr>
      <w:bookmarkStart w:id="6" w:name="_Toc384902677"/>
      <w:bookmarkStart w:id="7" w:name="_Ref348086046"/>
      <w:r>
        <w:lastRenderedPageBreak/>
        <w:t>Planning Cycle</w:t>
      </w:r>
      <w:bookmarkEnd w:id="6"/>
    </w:p>
    <w:p w:rsidR="00240376" w:rsidRDefault="00DF4FCB" w:rsidP="00240376">
      <w:r w:rsidRPr="00DF4FCB">
        <w:rPr>
          <w:noProof/>
          <w:lang w:eastAsia="en-GB"/>
        </w:rPr>
        <w:drawing>
          <wp:inline distT="0" distB="0" distL="0" distR="0" wp14:anchorId="0E7185F0" wp14:editId="342BF84B">
            <wp:extent cx="5731510" cy="493257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4932572"/>
                    </a:xfrm>
                    <a:prstGeom prst="rect">
                      <a:avLst/>
                    </a:prstGeom>
                    <a:noFill/>
                    <a:ln w="9525">
                      <a:noFill/>
                      <a:miter lim="800000"/>
                      <a:headEnd/>
                      <a:tailEnd/>
                    </a:ln>
                  </pic:spPr>
                </pic:pic>
              </a:graphicData>
            </a:graphic>
          </wp:inline>
        </w:drawing>
      </w:r>
      <w:r w:rsidR="00240376">
        <w:t xml:space="preserve">For further information see: </w:t>
      </w:r>
      <w:hyperlink r:id="rId10" w:history="1">
        <w:r w:rsidR="00B46039" w:rsidRPr="000B79CE">
          <w:rPr>
            <w:rStyle w:val="Hyperlink"/>
          </w:rPr>
          <w:t>http://www.exeter.ac.uk/spc/stratplan/planning_process/</w:t>
        </w:r>
      </w:hyperlink>
    </w:p>
    <w:p w:rsidR="001068E0" w:rsidRPr="00997839" w:rsidRDefault="001068E0" w:rsidP="00B72527">
      <w:pPr>
        <w:pStyle w:val="Heading2"/>
      </w:pPr>
      <w:bookmarkStart w:id="8" w:name="_Toc384902678"/>
      <w:r w:rsidRPr="00997839">
        <w:t>Baseline</w:t>
      </w:r>
      <w:bookmarkEnd w:id="7"/>
      <w:r w:rsidR="00D754D0">
        <w:t xml:space="preserve"> Plans</w:t>
      </w:r>
      <w:bookmarkEnd w:id="8"/>
    </w:p>
    <w:p w:rsidR="00611C51" w:rsidRDefault="00212852" w:rsidP="009066A1">
      <w:r>
        <w:t>T</w:t>
      </w:r>
      <w:r w:rsidR="00611C51">
        <w:t>he Planning Review Group will review and scrutinize plan submissions against an</w:t>
      </w:r>
      <w:r w:rsidR="00D754D0">
        <w:t xml:space="preserve"> adjusted</w:t>
      </w:r>
      <w:r w:rsidR="00611C51">
        <w:t xml:space="preserve"> baseline position.</w:t>
      </w:r>
      <w:r w:rsidR="0041027C">
        <w:t xml:space="preserve">  </w:t>
      </w:r>
      <w:r w:rsidR="00611C51">
        <w:t xml:space="preserve">Budget </w:t>
      </w:r>
      <w:r w:rsidR="0041027C">
        <w:t>c</w:t>
      </w:r>
      <w:r w:rsidR="00611C51">
        <w:t>entres will be required to itemi</w:t>
      </w:r>
      <w:r w:rsidR="00F575CA">
        <w:t xml:space="preserve">ze and justify any incremental changes to their </w:t>
      </w:r>
      <w:r w:rsidR="00D754D0">
        <w:t xml:space="preserve">adjusted </w:t>
      </w:r>
      <w:r w:rsidR="00F575CA">
        <w:t xml:space="preserve">baseline. </w:t>
      </w:r>
    </w:p>
    <w:p w:rsidR="00D754D0" w:rsidRDefault="00D754D0" w:rsidP="009066A1">
      <w:r>
        <w:t>The original approved baselines will have been amended to reflect central adjustments relating to changes in fee assumptions, pay and cost inflationary parameters, any net nil budget transfers and any required or agreed changes to contribution following previous PRG meetings.</w:t>
      </w:r>
    </w:p>
    <w:p w:rsidR="00D754D0" w:rsidRDefault="00D754D0" w:rsidP="009066A1">
      <w:r>
        <w:t>This adjusted baseline will form the target contribution for the PRG3 submission.</w:t>
      </w:r>
    </w:p>
    <w:p w:rsidR="00D754D0" w:rsidRDefault="00D754D0" w:rsidP="009066A1"/>
    <w:p w:rsidR="00500744" w:rsidRDefault="00FD148E">
      <w:r>
        <w:t>As the plans roll forward into a new year (e.g. for PRG3 in 2014 the additional year is 2018/19), for which no baseline exists, PRG will expect the rate of contribution for that year not to be less than the previous year contribution rate.</w:t>
      </w:r>
    </w:p>
    <w:p w:rsidR="00EA07AD" w:rsidRDefault="00EA07AD" w:rsidP="00B72527">
      <w:pPr>
        <w:pStyle w:val="Heading2"/>
      </w:pPr>
      <w:bookmarkStart w:id="9" w:name="_Ref369687371"/>
      <w:bookmarkStart w:id="10" w:name="_Toc384902679"/>
      <w:r w:rsidRPr="00AE70E7">
        <w:lastRenderedPageBreak/>
        <w:t>Assumptions and Parameters</w:t>
      </w:r>
      <w:bookmarkEnd w:id="9"/>
      <w:bookmarkEnd w:id="10"/>
      <w:r w:rsidR="00F07DC9">
        <w:t xml:space="preserve"> </w:t>
      </w:r>
    </w:p>
    <w:p w:rsidR="009E734B" w:rsidRPr="002F4FA9" w:rsidDel="009E734B" w:rsidRDefault="009E734B" w:rsidP="00DE5C4A">
      <w:r>
        <w:t>These have been approved by the CFO, Andrew Connolly</w:t>
      </w:r>
    </w:p>
    <w:tbl>
      <w:tblPr>
        <w:tblW w:w="8980" w:type="dxa"/>
        <w:tblInd w:w="93" w:type="dxa"/>
        <w:tblLook w:val="04A0" w:firstRow="1" w:lastRow="0" w:firstColumn="1" w:lastColumn="0" w:noHBand="0" w:noVBand="1"/>
      </w:tblPr>
      <w:tblGrid>
        <w:gridCol w:w="3380"/>
        <w:gridCol w:w="1120"/>
        <w:gridCol w:w="1120"/>
        <w:gridCol w:w="1120"/>
        <w:gridCol w:w="1120"/>
        <w:gridCol w:w="1120"/>
      </w:tblGrid>
      <w:tr w:rsidR="009E734B" w:rsidRPr="009E734B" w:rsidTr="009E734B">
        <w:trPr>
          <w:trHeight w:val="330"/>
        </w:trPr>
        <w:tc>
          <w:tcPr>
            <w:tcW w:w="3380" w:type="dxa"/>
            <w:tcBorders>
              <w:top w:val="single" w:sz="8" w:space="0" w:color="auto"/>
              <w:left w:val="single" w:sz="8" w:space="0" w:color="auto"/>
              <w:bottom w:val="single" w:sz="8" w:space="0" w:color="auto"/>
              <w:right w:val="nil"/>
            </w:tcBorders>
            <w:shd w:val="clear" w:color="000000" w:fill="95B3D7"/>
            <w:noWrap/>
            <w:vAlign w:val="bottom"/>
            <w:hideMark/>
          </w:tcPr>
          <w:p w:rsidR="009E734B" w:rsidRPr="009E734B" w:rsidRDefault="009E734B" w:rsidP="009E734B">
            <w:pPr>
              <w:spacing w:after="0" w:line="240" w:lineRule="auto"/>
              <w:rPr>
                <w:rFonts w:eastAsia="Times New Roman" w:cs="Arial"/>
                <w:b/>
                <w:bCs/>
                <w:sz w:val="24"/>
                <w:szCs w:val="24"/>
                <w:lang w:eastAsia="en-GB"/>
              </w:rPr>
            </w:pPr>
            <w:r w:rsidRPr="009E734B">
              <w:rPr>
                <w:rFonts w:eastAsia="Times New Roman" w:cs="Arial"/>
                <w:b/>
                <w:bCs/>
                <w:sz w:val="24"/>
                <w:szCs w:val="24"/>
                <w:lang w:eastAsia="en-GB"/>
              </w:rPr>
              <w:t>INFLATIONARY ASSUMPTIONS</w:t>
            </w:r>
          </w:p>
        </w:tc>
        <w:tc>
          <w:tcPr>
            <w:tcW w:w="1120" w:type="dxa"/>
            <w:tcBorders>
              <w:top w:val="single" w:sz="8" w:space="0" w:color="auto"/>
              <w:left w:val="nil"/>
              <w:bottom w:val="single" w:sz="8" w:space="0" w:color="auto"/>
              <w:right w:val="nil"/>
            </w:tcBorders>
            <w:shd w:val="clear" w:color="000000" w:fill="95B3D7"/>
            <w:noWrap/>
            <w:vAlign w:val="bottom"/>
            <w:hideMark/>
          </w:tcPr>
          <w:p w:rsidR="009E734B" w:rsidRPr="009E734B" w:rsidRDefault="009E734B" w:rsidP="009E734B">
            <w:pPr>
              <w:spacing w:after="0" w:line="240" w:lineRule="auto"/>
              <w:jc w:val="center"/>
              <w:rPr>
                <w:rFonts w:eastAsia="Times New Roman" w:cs="Arial"/>
                <w:b/>
                <w:bCs/>
                <w:sz w:val="24"/>
                <w:szCs w:val="24"/>
                <w:lang w:eastAsia="en-GB"/>
              </w:rPr>
            </w:pPr>
            <w:r w:rsidRPr="009E734B">
              <w:rPr>
                <w:rFonts w:eastAsia="Times New Roman" w:cs="Arial"/>
                <w:b/>
                <w:bCs/>
                <w:sz w:val="24"/>
                <w:szCs w:val="24"/>
                <w:lang w:eastAsia="en-GB"/>
              </w:rPr>
              <w:t>2014/15</w:t>
            </w:r>
          </w:p>
        </w:tc>
        <w:tc>
          <w:tcPr>
            <w:tcW w:w="1120" w:type="dxa"/>
            <w:tcBorders>
              <w:top w:val="single" w:sz="8" w:space="0" w:color="auto"/>
              <w:left w:val="nil"/>
              <w:bottom w:val="single" w:sz="8" w:space="0" w:color="auto"/>
              <w:right w:val="nil"/>
            </w:tcBorders>
            <w:shd w:val="clear" w:color="000000" w:fill="95B3D7"/>
            <w:noWrap/>
            <w:vAlign w:val="bottom"/>
            <w:hideMark/>
          </w:tcPr>
          <w:p w:rsidR="009E734B" w:rsidRPr="009E734B" w:rsidRDefault="009E734B" w:rsidP="009E734B">
            <w:pPr>
              <w:spacing w:after="0" w:line="240" w:lineRule="auto"/>
              <w:jc w:val="center"/>
              <w:rPr>
                <w:rFonts w:eastAsia="Times New Roman" w:cs="Arial"/>
                <w:b/>
                <w:bCs/>
                <w:sz w:val="24"/>
                <w:szCs w:val="24"/>
                <w:lang w:eastAsia="en-GB"/>
              </w:rPr>
            </w:pPr>
            <w:r w:rsidRPr="009E734B">
              <w:rPr>
                <w:rFonts w:eastAsia="Times New Roman" w:cs="Arial"/>
                <w:b/>
                <w:bCs/>
                <w:sz w:val="24"/>
                <w:szCs w:val="24"/>
                <w:lang w:eastAsia="en-GB"/>
              </w:rPr>
              <w:t>2015/16</w:t>
            </w:r>
          </w:p>
        </w:tc>
        <w:tc>
          <w:tcPr>
            <w:tcW w:w="1120" w:type="dxa"/>
            <w:tcBorders>
              <w:top w:val="single" w:sz="8" w:space="0" w:color="auto"/>
              <w:left w:val="nil"/>
              <w:bottom w:val="single" w:sz="8" w:space="0" w:color="auto"/>
              <w:right w:val="nil"/>
            </w:tcBorders>
            <w:shd w:val="clear" w:color="000000" w:fill="95B3D7"/>
            <w:noWrap/>
            <w:vAlign w:val="bottom"/>
            <w:hideMark/>
          </w:tcPr>
          <w:p w:rsidR="009E734B" w:rsidRPr="009E734B" w:rsidRDefault="009E734B" w:rsidP="009E734B">
            <w:pPr>
              <w:spacing w:after="0" w:line="240" w:lineRule="auto"/>
              <w:jc w:val="center"/>
              <w:rPr>
                <w:rFonts w:eastAsia="Times New Roman" w:cs="Arial"/>
                <w:b/>
                <w:bCs/>
                <w:sz w:val="24"/>
                <w:szCs w:val="24"/>
                <w:lang w:eastAsia="en-GB"/>
              </w:rPr>
            </w:pPr>
            <w:r w:rsidRPr="009E734B">
              <w:rPr>
                <w:rFonts w:eastAsia="Times New Roman" w:cs="Arial"/>
                <w:b/>
                <w:bCs/>
                <w:sz w:val="24"/>
                <w:szCs w:val="24"/>
                <w:lang w:eastAsia="en-GB"/>
              </w:rPr>
              <w:t>2016/17</w:t>
            </w:r>
          </w:p>
        </w:tc>
        <w:tc>
          <w:tcPr>
            <w:tcW w:w="1120" w:type="dxa"/>
            <w:tcBorders>
              <w:top w:val="single" w:sz="8" w:space="0" w:color="auto"/>
              <w:left w:val="nil"/>
              <w:bottom w:val="single" w:sz="8" w:space="0" w:color="auto"/>
              <w:right w:val="nil"/>
            </w:tcBorders>
            <w:shd w:val="clear" w:color="000000" w:fill="95B3D7"/>
            <w:noWrap/>
            <w:vAlign w:val="bottom"/>
            <w:hideMark/>
          </w:tcPr>
          <w:p w:rsidR="009E734B" w:rsidRPr="009E734B" w:rsidRDefault="009E734B" w:rsidP="009E734B">
            <w:pPr>
              <w:spacing w:after="0" w:line="240" w:lineRule="auto"/>
              <w:jc w:val="center"/>
              <w:rPr>
                <w:rFonts w:eastAsia="Times New Roman" w:cs="Arial"/>
                <w:b/>
                <w:bCs/>
                <w:sz w:val="24"/>
                <w:szCs w:val="24"/>
                <w:lang w:eastAsia="en-GB"/>
              </w:rPr>
            </w:pPr>
            <w:r w:rsidRPr="009E734B">
              <w:rPr>
                <w:rFonts w:eastAsia="Times New Roman" w:cs="Arial"/>
                <w:b/>
                <w:bCs/>
                <w:sz w:val="24"/>
                <w:szCs w:val="24"/>
                <w:lang w:eastAsia="en-GB"/>
              </w:rPr>
              <w:t>2017/18</w:t>
            </w:r>
          </w:p>
        </w:tc>
        <w:tc>
          <w:tcPr>
            <w:tcW w:w="1120" w:type="dxa"/>
            <w:tcBorders>
              <w:top w:val="single" w:sz="8" w:space="0" w:color="auto"/>
              <w:left w:val="nil"/>
              <w:bottom w:val="single" w:sz="8" w:space="0" w:color="auto"/>
              <w:right w:val="single" w:sz="8" w:space="0" w:color="auto"/>
            </w:tcBorders>
            <w:shd w:val="clear" w:color="000000" w:fill="95B3D7"/>
            <w:noWrap/>
            <w:vAlign w:val="bottom"/>
            <w:hideMark/>
          </w:tcPr>
          <w:p w:rsidR="009E734B" w:rsidRPr="009E734B" w:rsidRDefault="009E734B" w:rsidP="009E734B">
            <w:pPr>
              <w:spacing w:after="0" w:line="240" w:lineRule="auto"/>
              <w:jc w:val="center"/>
              <w:rPr>
                <w:rFonts w:eastAsia="Times New Roman" w:cs="Arial"/>
                <w:b/>
                <w:bCs/>
                <w:sz w:val="24"/>
                <w:szCs w:val="24"/>
                <w:lang w:eastAsia="en-GB"/>
              </w:rPr>
            </w:pPr>
            <w:r w:rsidRPr="009E734B">
              <w:rPr>
                <w:rFonts w:eastAsia="Times New Roman" w:cs="Arial"/>
                <w:b/>
                <w:bCs/>
                <w:sz w:val="24"/>
                <w:szCs w:val="24"/>
                <w:lang w:eastAsia="en-GB"/>
              </w:rPr>
              <w:t>2018/19</w:t>
            </w:r>
          </w:p>
        </w:tc>
      </w:tr>
      <w:tr w:rsidR="009E734B" w:rsidRPr="009E734B" w:rsidTr="009E734B">
        <w:trPr>
          <w:trHeight w:val="120"/>
        </w:trPr>
        <w:tc>
          <w:tcPr>
            <w:tcW w:w="3380" w:type="dxa"/>
            <w:tcBorders>
              <w:top w:val="nil"/>
              <w:left w:val="nil"/>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p>
        </w:tc>
        <w:tc>
          <w:tcPr>
            <w:tcW w:w="1120" w:type="dxa"/>
            <w:tcBorders>
              <w:top w:val="nil"/>
              <w:left w:val="nil"/>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p>
        </w:tc>
        <w:tc>
          <w:tcPr>
            <w:tcW w:w="1120" w:type="dxa"/>
            <w:tcBorders>
              <w:top w:val="nil"/>
              <w:left w:val="nil"/>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p>
        </w:tc>
        <w:tc>
          <w:tcPr>
            <w:tcW w:w="1120" w:type="dxa"/>
            <w:tcBorders>
              <w:top w:val="nil"/>
              <w:left w:val="nil"/>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p>
        </w:tc>
        <w:tc>
          <w:tcPr>
            <w:tcW w:w="1120" w:type="dxa"/>
            <w:tcBorders>
              <w:top w:val="nil"/>
              <w:left w:val="nil"/>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p>
        </w:tc>
        <w:tc>
          <w:tcPr>
            <w:tcW w:w="1120" w:type="dxa"/>
            <w:tcBorders>
              <w:top w:val="nil"/>
              <w:left w:val="nil"/>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p>
        </w:tc>
      </w:tr>
      <w:tr w:rsidR="009E734B" w:rsidRPr="009E734B" w:rsidTr="009E734B">
        <w:trPr>
          <w:trHeight w:val="315"/>
        </w:trPr>
        <w:tc>
          <w:tcPr>
            <w:tcW w:w="3380" w:type="dxa"/>
            <w:tcBorders>
              <w:top w:val="single" w:sz="8" w:space="0" w:color="auto"/>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QR Main</w:t>
            </w:r>
          </w:p>
        </w:tc>
        <w:tc>
          <w:tcPr>
            <w:tcW w:w="1120" w:type="dxa"/>
            <w:tcBorders>
              <w:top w:val="single" w:sz="8" w:space="0" w:color="auto"/>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single" w:sz="8" w:space="0" w:color="auto"/>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single" w:sz="8" w:space="0" w:color="auto"/>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single" w:sz="8" w:space="0" w:color="auto"/>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single" w:sz="8" w:space="0" w:color="auto"/>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QR Charity support</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QR Business research</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QR RDP</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T Grant</w:t>
            </w:r>
          </w:p>
        </w:tc>
        <w:tc>
          <w:tcPr>
            <w:tcW w:w="1120" w:type="dxa"/>
            <w:tcBorders>
              <w:top w:val="nil"/>
              <w:left w:val="single" w:sz="4" w:space="0" w:color="auto"/>
              <w:bottom w:val="nil"/>
              <w:right w:val="single" w:sz="4" w:space="0" w:color="auto"/>
            </w:tcBorders>
            <w:shd w:val="clear" w:color="auto" w:fill="auto"/>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 </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Tuition fees - H/EU UG and PGCE</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0.0%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Tuition fees - all other</w:t>
            </w:r>
          </w:p>
        </w:tc>
        <w:tc>
          <w:tcPr>
            <w:tcW w:w="1120" w:type="dxa"/>
            <w:tcBorders>
              <w:top w:val="nil"/>
              <w:left w:val="single" w:sz="4" w:space="0" w:color="auto"/>
              <w:bottom w:val="nil"/>
              <w:right w:val="single" w:sz="4" w:space="0" w:color="auto"/>
            </w:tcBorders>
            <w:shd w:val="clear" w:color="auto" w:fill="auto"/>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 </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3.0%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3.0%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3.0%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3.0%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Pay</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2.5%</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2.5%</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2.5%</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2.5%</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Utilities</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4.0%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4.0%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4.0%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4.0%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4.0%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Business Rates</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2.6%</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2.6%</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2.6%</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2.6%</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2.6%</w:t>
            </w:r>
          </w:p>
        </w:tc>
      </w:tr>
      <w:tr w:rsidR="009E734B" w:rsidRPr="009E734B" w:rsidTr="009E734B">
        <w:trPr>
          <w:trHeight w:val="630"/>
        </w:trPr>
        <w:tc>
          <w:tcPr>
            <w:tcW w:w="3380" w:type="dxa"/>
            <w:tcBorders>
              <w:top w:val="nil"/>
              <w:left w:val="single" w:sz="8" w:space="0" w:color="auto"/>
              <w:bottom w:val="nil"/>
              <w:right w:val="nil"/>
            </w:tcBorders>
            <w:shd w:val="clear" w:color="auto" w:fill="auto"/>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 xml:space="preserve">Commercial Activity -  Income (non Student Accommodation) </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000686" w:rsidP="009E734B">
            <w:pPr>
              <w:spacing w:after="0" w:line="240" w:lineRule="auto"/>
              <w:jc w:val="right"/>
              <w:rPr>
                <w:rFonts w:eastAsia="Times New Roman" w:cs="Arial"/>
                <w:sz w:val="24"/>
                <w:szCs w:val="24"/>
                <w:lang w:eastAsia="en-GB"/>
              </w:rPr>
            </w:pPr>
            <w:r>
              <w:rPr>
                <w:rFonts w:eastAsia="Times New Roman" w:cs="Arial"/>
                <w:sz w:val="24"/>
                <w:szCs w:val="24"/>
                <w:lang w:eastAsia="en-GB"/>
              </w:rPr>
              <w:t>2</w:t>
            </w:r>
            <w:r w:rsidR="009E734B" w:rsidRPr="009E734B">
              <w:rPr>
                <w:rFonts w:eastAsia="Times New Roman" w:cs="Arial"/>
                <w:sz w:val="24"/>
                <w:szCs w:val="24"/>
                <w:lang w:eastAsia="en-GB"/>
              </w:rPr>
              <w:t>.0%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000686" w:rsidP="009E734B">
            <w:pPr>
              <w:spacing w:after="0" w:line="240" w:lineRule="auto"/>
              <w:jc w:val="right"/>
              <w:rPr>
                <w:rFonts w:eastAsia="Times New Roman" w:cs="Arial"/>
                <w:sz w:val="24"/>
                <w:szCs w:val="24"/>
                <w:lang w:eastAsia="en-GB"/>
              </w:rPr>
            </w:pPr>
            <w:r>
              <w:rPr>
                <w:rFonts w:eastAsia="Times New Roman" w:cs="Arial"/>
                <w:sz w:val="24"/>
                <w:szCs w:val="24"/>
                <w:lang w:eastAsia="en-GB"/>
              </w:rPr>
              <w:t>2</w:t>
            </w:r>
            <w:r w:rsidR="009E734B" w:rsidRPr="009E734B">
              <w:rPr>
                <w:rFonts w:eastAsia="Times New Roman" w:cs="Arial"/>
                <w:sz w:val="24"/>
                <w:szCs w:val="24"/>
                <w:lang w:eastAsia="en-GB"/>
              </w:rPr>
              <w:t>.0%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000686" w:rsidP="009E734B">
            <w:pPr>
              <w:spacing w:after="0" w:line="240" w:lineRule="auto"/>
              <w:jc w:val="right"/>
              <w:rPr>
                <w:rFonts w:eastAsia="Times New Roman" w:cs="Arial"/>
                <w:sz w:val="24"/>
                <w:szCs w:val="24"/>
                <w:lang w:eastAsia="en-GB"/>
              </w:rPr>
            </w:pPr>
            <w:r>
              <w:rPr>
                <w:rFonts w:eastAsia="Times New Roman" w:cs="Arial"/>
                <w:sz w:val="24"/>
                <w:szCs w:val="24"/>
                <w:lang w:eastAsia="en-GB"/>
              </w:rPr>
              <w:t>2</w:t>
            </w:r>
            <w:r w:rsidR="009E734B" w:rsidRPr="009E734B">
              <w:rPr>
                <w:rFonts w:eastAsia="Times New Roman" w:cs="Arial"/>
                <w:sz w:val="24"/>
                <w:szCs w:val="24"/>
                <w:lang w:eastAsia="en-GB"/>
              </w:rPr>
              <w:t>.0%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000686" w:rsidP="009E734B">
            <w:pPr>
              <w:spacing w:after="0" w:line="240" w:lineRule="auto"/>
              <w:jc w:val="right"/>
              <w:rPr>
                <w:rFonts w:eastAsia="Times New Roman" w:cs="Arial"/>
                <w:sz w:val="24"/>
                <w:szCs w:val="24"/>
                <w:lang w:eastAsia="en-GB"/>
              </w:rPr>
            </w:pPr>
            <w:r>
              <w:rPr>
                <w:rFonts w:eastAsia="Times New Roman" w:cs="Arial"/>
                <w:sz w:val="24"/>
                <w:szCs w:val="24"/>
                <w:lang w:eastAsia="en-GB"/>
              </w:rPr>
              <w:t>2</w:t>
            </w:r>
            <w:r w:rsidR="009E734B" w:rsidRPr="009E734B">
              <w:rPr>
                <w:rFonts w:eastAsia="Times New Roman" w:cs="Arial"/>
                <w:sz w:val="24"/>
                <w:szCs w:val="24"/>
                <w:lang w:eastAsia="en-GB"/>
              </w:rPr>
              <w:t>.0%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000686" w:rsidP="009E734B">
            <w:pPr>
              <w:spacing w:after="0" w:line="240" w:lineRule="auto"/>
              <w:jc w:val="right"/>
              <w:rPr>
                <w:rFonts w:eastAsia="Times New Roman" w:cs="Arial"/>
                <w:sz w:val="24"/>
                <w:szCs w:val="24"/>
                <w:lang w:eastAsia="en-GB"/>
              </w:rPr>
            </w:pPr>
            <w:r>
              <w:rPr>
                <w:rFonts w:eastAsia="Times New Roman" w:cs="Arial"/>
                <w:sz w:val="24"/>
                <w:szCs w:val="24"/>
                <w:lang w:eastAsia="en-GB"/>
              </w:rPr>
              <w:t>2</w:t>
            </w:r>
            <w:r w:rsidR="009E734B" w:rsidRPr="009E734B">
              <w:rPr>
                <w:rFonts w:eastAsia="Times New Roman" w:cs="Arial"/>
                <w:sz w:val="24"/>
                <w:szCs w:val="24"/>
                <w:lang w:eastAsia="en-GB"/>
              </w:rPr>
              <w:t>.0%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FD148E">
            <w:pPr>
              <w:spacing w:after="0" w:line="240" w:lineRule="auto"/>
              <w:rPr>
                <w:rFonts w:eastAsia="Times New Roman" w:cs="Arial"/>
                <w:sz w:val="24"/>
                <w:szCs w:val="24"/>
                <w:lang w:eastAsia="en-GB"/>
              </w:rPr>
            </w:pPr>
            <w:r w:rsidRPr="009E734B">
              <w:rPr>
                <w:rFonts w:eastAsia="Times New Roman" w:cs="Arial"/>
                <w:sz w:val="24"/>
                <w:szCs w:val="24"/>
                <w:lang w:eastAsia="en-GB"/>
              </w:rPr>
              <w:t xml:space="preserve">Library </w:t>
            </w:r>
            <w:r w:rsidR="00FD148E">
              <w:rPr>
                <w:rFonts w:eastAsia="Times New Roman" w:cs="Arial"/>
                <w:sz w:val="24"/>
                <w:szCs w:val="24"/>
                <w:lang w:eastAsia="en-GB"/>
              </w:rPr>
              <w:t>subscriptions (AS only)</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8.0%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8.0%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8.0%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8.0%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General inflation</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Bank Loan Interest</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ascii="Arial" w:eastAsia="Times New Roman" w:hAnsi="Arial" w:cs="Arial"/>
                <w:sz w:val="20"/>
                <w:szCs w:val="20"/>
                <w:lang w:eastAsia="en-GB"/>
              </w:rPr>
            </w:pPr>
            <w:r w:rsidRPr="009E734B">
              <w:rPr>
                <w:rFonts w:ascii="Arial" w:eastAsia="Times New Roman" w:hAnsi="Arial" w:cs="Arial"/>
                <w:sz w:val="20"/>
                <w:szCs w:val="20"/>
                <w:lang w:eastAsia="en-GB"/>
              </w:rPr>
              <w:t>4.50%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ascii="Arial" w:eastAsia="Times New Roman" w:hAnsi="Arial" w:cs="Arial"/>
                <w:sz w:val="20"/>
                <w:szCs w:val="20"/>
                <w:lang w:eastAsia="en-GB"/>
              </w:rPr>
            </w:pPr>
            <w:r w:rsidRPr="009E734B">
              <w:rPr>
                <w:rFonts w:ascii="Arial" w:eastAsia="Times New Roman" w:hAnsi="Arial" w:cs="Arial"/>
                <w:sz w:val="20"/>
                <w:szCs w:val="20"/>
                <w:lang w:eastAsia="en-GB"/>
              </w:rPr>
              <w:t>4.50%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ascii="Arial" w:eastAsia="Times New Roman" w:hAnsi="Arial" w:cs="Arial"/>
                <w:sz w:val="20"/>
                <w:szCs w:val="20"/>
                <w:lang w:eastAsia="en-GB"/>
              </w:rPr>
            </w:pPr>
            <w:r w:rsidRPr="009E734B">
              <w:rPr>
                <w:rFonts w:ascii="Arial" w:eastAsia="Times New Roman" w:hAnsi="Arial" w:cs="Arial"/>
                <w:sz w:val="20"/>
                <w:szCs w:val="20"/>
                <w:lang w:eastAsia="en-GB"/>
              </w:rPr>
              <w:t>4.50%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ascii="Arial" w:eastAsia="Times New Roman" w:hAnsi="Arial" w:cs="Arial"/>
                <w:sz w:val="20"/>
                <w:szCs w:val="20"/>
                <w:lang w:eastAsia="en-GB"/>
              </w:rPr>
            </w:pPr>
            <w:r w:rsidRPr="009E734B">
              <w:rPr>
                <w:rFonts w:ascii="Arial" w:eastAsia="Times New Roman" w:hAnsi="Arial" w:cs="Arial"/>
                <w:sz w:val="20"/>
                <w:szCs w:val="20"/>
                <w:lang w:eastAsia="en-GB"/>
              </w:rPr>
              <w:t>4.50%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ascii="Arial" w:eastAsia="Times New Roman" w:hAnsi="Arial" w:cs="Arial"/>
                <w:sz w:val="20"/>
                <w:szCs w:val="20"/>
                <w:lang w:eastAsia="en-GB"/>
              </w:rPr>
            </w:pPr>
            <w:r w:rsidRPr="009E734B">
              <w:rPr>
                <w:rFonts w:ascii="Arial" w:eastAsia="Times New Roman" w:hAnsi="Arial" w:cs="Arial"/>
                <w:sz w:val="20"/>
                <w:szCs w:val="20"/>
                <w:lang w:eastAsia="en-GB"/>
              </w:rPr>
              <w:t>4.50%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Employers' NIC</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13.8%</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14.5%</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15.8%</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15.8%</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15.8%</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USS employers' contributions</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16.0%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16.0%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18.0%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18.0%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18.0%</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ERBS employers' contributions</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22.5%</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22.5%</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22.5%</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22.5%</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22.5%</w:t>
            </w:r>
          </w:p>
        </w:tc>
      </w:tr>
      <w:tr w:rsidR="009E734B" w:rsidRPr="009E734B" w:rsidTr="009E734B">
        <w:trPr>
          <w:trHeight w:val="315"/>
        </w:trPr>
        <w:tc>
          <w:tcPr>
            <w:tcW w:w="3380" w:type="dxa"/>
            <w:tcBorders>
              <w:top w:val="nil"/>
              <w:left w:val="single" w:sz="8" w:space="0" w:color="auto"/>
              <w:bottom w:val="nil"/>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Merit awards % of staff costs</w:t>
            </w:r>
          </w:p>
        </w:tc>
        <w:tc>
          <w:tcPr>
            <w:tcW w:w="1120" w:type="dxa"/>
            <w:tcBorders>
              <w:top w:val="nil"/>
              <w:left w:val="single" w:sz="4" w:space="0" w:color="auto"/>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1.0%</w:t>
            </w:r>
          </w:p>
        </w:tc>
        <w:tc>
          <w:tcPr>
            <w:tcW w:w="1120" w:type="dxa"/>
            <w:tcBorders>
              <w:top w:val="nil"/>
              <w:left w:val="nil"/>
              <w:bottom w:val="nil"/>
              <w:right w:val="single" w:sz="4"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1.0%</w:t>
            </w:r>
          </w:p>
        </w:tc>
        <w:tc>
          <w:tcPr>
            <w:tcW w:w="1120" w:type="dxa"/>
            <w:tcBorders>
              <w:top w:val="nil"/>
              <w:left w:val="nil"/>
              <w:bottom w:val="nil"/>
              <w:right w:val="single" w:sz="8" w:space="0" w:color="auto"/>
            </w:tcBorders>
            <w:shd w:val="clear" w:color="auto" w:fill="auto"/>
            <w:noWrap/>
            <w:vAlign w:val="bottom"/>
            <w:hideMark/>
          </w:tcPr>
          <w:p w:rsidR="009E734B" w:rsidRPr="009E734B" w:rsidRDefault="009E734B" w:rsidP="009E734B">
            <w:pPr>
              <w:spacing w:after="0" w:line="240" w:lineRule="auto"/>
              <w:jc w:val="right"/>
              <w:rPr>
                <w:rFonts w:eastAsia="Times New Roman" w:cs="Arial"/>
                <w:sz w:val="24"/>
                <w:szCs w:val="24"/>
                <w:lang w:eastAsia="en-GB"/>
              </w:rPr>
            </w:pPr>
            <w:r w:rsidRPr="009E734B">
              <w:rPr>
                <w:rFonts w:eastAsia="Times New Roman" w:cs="Arial"/>
                <w:sz w:val="24"/>
                <w:szCs w:val="24"/>
                <w:lang w:eastAsia="en-GB"/>
              </w:rPr>
              <w:t>1.0%</w:t>
            </w:r>
          </w:p>
        </w:tc>
      </w:tr>
      <w:tr w:rsidR="009E734B" w:rsidRPr="009E734B" w:rsidTr="009E734B">
        <w:trPr>
          <w:trHeight w:val="270"/>
        </w:trPr>
        <w:tc>
          <w:tcPr>
            <w:tcW w:w="3380" w:type="dxa"/>
            <w:tcBorders>
              <w:top w:val="nil"/>
              <w:left w:val="single" w:sz="8" w:space="0" w:color="auto"/>
              <w:bottom w:val="single" w:sz="8" w:space="0" w:color="auto"/>
              <w:right w:val="nil"/>
            </w:tcBorders>
            <w:shd w:val="clear" w:color="auto" w:fill="auto"/>
            <w:noWrap/>
            <w:vAlign w:val="bottom"/>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Pay increments</w:t>
            </w:r>
          </w:p>
        </w:tc>
        <w:tc>
          <w:tcPr>
            <w:tcW w:w="5600" w:type="dxa"/>
            <w:gridSpan w:val="5"/>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9E734B" w:rsidRPr="009E734B" w:rsidRDefault="009E734B" w:rsidP="009E734B">
            <w:pPr>
              <w:spacing w:after="0" w:line="240" w:lineRule="auto"/>
              <w:rPr>
                <w:rFonts w:eastAsia="Times New Roman" w:cs="Arial"/>
                <w:sz w:val="24"/>
                <w:szCs w:val="24"/>
                <w:lang w:eastAsia="en-GB"/>
              </w:rPr>
            </w:pPr>
            <w:r w:rsidRPr="009E734B">
              <w:rPr>
                <w:rFonts w:eastAsia="Times New Roman" w:cs="Arial"/>
                <w:sz w:val="24"/>
                <w:szCs w:val="24"/>
                <w:lang w:eastAsia="en-GB"/>
              </w:rPr>
              <w:t>Built automatically into staffing plans</w:t>
            </w:r>
          </w:p>
        </w:tc>
      </w:tr>
    </w:tbl>
    <w:p w:rsidR="00DE5C4A" w:rsidRDefault="00DE5C4A" w:rsidP="00DE5C4A"/>
    <w:p w:rsidR="00EA07AD" w:rsidRPr="00D52E8A" w:rsidRDefault="00EA07AD" w:rsidP="008A4A38">
      <w:pPr>
        <w:rPr>
          <w:b/>
          <w:color w:val="548DD4"/>
        </w:rPr>
      </w:pPr>
      <w:bookmarkStart w:id="11" w:name="_Toc370110715"/>
      <w:bookmarkStart w:id="12" w:name="_Toc370206768"/>
      <w:bookmarkStart w:id="13" w:name="_Toc370217664"/>
      <w:bookmarkStart w:id="14" w:name="_Toc370217737"/>
      <w:bookmarkStart w:id="15" w:name="_Toc370217794"/>
      <w:bookmarkStart w:id="16" w:name="_Toc371341935"/>
      <w:bookmarkEnd w:id="11"/>
      <w:bookmarkEnd w:id="12"/>
      <w:bookmarkEnd w:id="13"/>
      <w:bookmarkEnd w:id="14"/>
      <w:bookmarkEnd w:id="15"/>
      <w:bookmarkEnd w:id="16"/>
    </w:p>
    <w:p w:rsidR="00B938F3" w:rsidRDefault="00B938F3" w:rsidP="00B72527">
      <w:pPr>
        <w:pStyle w:val="Heading2"/>
      </w:pPr>
      <w:bookmarkStart w:id="17" w:name="_Toc384902680"/>
      <w:bookmarkStart w:id="18" w:name="_Ref348086062"/>
      <w:r>
        <w:t>General Principles</w:t>
      </w:r>
      <w:bookmarkEnd w:id="17"/>
    </w:p>
    <w:p w:rsidR="00B938F3" w:rsidRPr="002F4FA9" w:rsidRDefault="00B938F3" w:rsidP="00B938F3">
      <w:pPr>
        <w:rPr>
          <w:b/>
        </w:rPr>
      </w:pPr>
      <w:r w:rsidRPr="002F4FA9">
        <w:rPr>
          <w:b/>
        </w:rPr>
        <w:t>Accounting</w:t>
      </w:r>
    </w:p>
    <w:p w:rsidR="00B938F3" w:rsidRPr="002F4FA9" w:rsidRDefault="00B938F3" w:rsidP="00B938F3">
      <w:r w:rsidRPr="002F4FA9">
        <w:t xml:space="preserve">There are certain general principles that </w:t>
      </w:r>
      <w:r w:rsidR="008A2DE3" w:rsidRPr="008A2DE3">
        <w:rPr>
          <w:color w:val="7030A0"/>
        </w:rPr>
        <w:t>should</w:t>
      </w:r>
      <w:r w:rsidRPr="002F4FA9">
        <w:t xml:space="preserve"> be adhered to when creating budgets:</w:t>
      </w:r>
    </w:p>
    <w:p w:rsidR="00B938F3" w:rsidRPr="002F4FA9" w:rsidRDefault="00B938F3" w:rsidP="00B938F3">
      <w:pPr>
        <w:pStyle w:val="NoSpacing"/>
        <w:numPr>
          <w:ilvl w:val="0"/>
          <w:numId w:val="22"/>
        </w:numPr>
      </w:pPr>
      <w:r w:rsidRPr="002F4FA9">
        <w:t>Recognition</w:t>
      </w:r>
    </w:p>
    <w:p w:rsidR="00B938F3" w:rsidRPr="002F4FA9" w:rsidRDefault="00B938F3" w:rsidP="00B938F3">
      <w:pPr>
        <w:pStyle w:val="NoSpacing"/>
        <w:numPr>
          <w:ilvl w:val="1"/>
          <w:numId w:val="22"/>
        </w:numPr>
      </w:pPr>
      <w:r w:rsidRPr="002F4FA9">
        <w:t>Accounting rules will be applied to the recognition of both income and cost.  When converting development plans into budgets, make sure you take account of how and when things will be recognised in the accounts.  Examples include capital items included in business plans and different recognition rules for different grants.</w:t>
      </w:r>
    </w:p>
    <w:p w:rsidR="00B938F3" w:rsidRPr="002F4FA9" w:rsidRDefault="00B938F3" w:rsidP="00B938F3">
      <w:pPr>
        <w:pStyle w:val="NoSpacing"/>
        <w:numPr>
          <w:ilvl w:val="0"/>
          <w:numId w:val="22"/>
        </w:numPr>
      </w:pPr>
      <w:r w:rsidRPr="002F4FA9">
        <w:t>Previous Years</w:t>
      </w:r>
    </w:p>
    <w:p w:rsidR="00B938F3" w:rsidRPr="002F4FA9" w:rsidRDefault="00B938F3" w:rsidP="00B938F3">
      <w:pPr>
        <w:pStyle w:val="NoSpacing"/>
        <w:numPr>
          <w:ilvl w:val="1"/>
          <w:numId w:val="22"/>
        </w:numPr>
      </w:pPr>
      <w:r w:rsidRPr="002F4FA9">
        <w:t xml:space="preserve">Previous years’ performance is a good indicator for certain items, especially costs and provisions.  Significant departures from previous years </w:t>
      </w:r>
      <w:r w:rsidR="0095208B">
        <w:rPr>
          <w:color w:val="7030A0"/>
        </w:rPr>
        <w:t>must</w:t>
      </w:r>
      <w:r w:rsidRPr="002F4FA9">
        <w:t xml:space="preserve"> be noted and explained.</w:t>
      </w:r>
    </w:p>
    <w:p w:rsidR="00B938F3" w:rsidRPr="002F4FA9" w:rsidRDefault="002F4FA9" w:rsidP="00B938F3">
      <w:pPr>
        <w:pStyle w:val="NoSpacing"/>
        <w:numPr>
          <w:ilvl w:val="1"/>
          <w:numId w:val="22"/>
        </w:numPr>
      </w:pPr>
      <w:r w:rsidRPr="002F4FA9">
        <w:t>B</w:t>
      </w:r>
      <w:r w:rsidR="00B938F3" w:rsidRPr="002F4FA9">
        <w:t xml:space="preserve">udgets are meant to be an accounting view of where we wish to take the business, and </w:t>
      </w:r>
      <w:r w:rsidR="008A2DE3" w:rsidRPr="008A2DE3">
        <w:rPr>
          <w:color w:val="7030A0"/>
        </w:rPr>
        <w:t>should</w:t>
      </w:r>
      <w:r w:rsidR="00B938F3" w:rsidRPr="002F4FA9">
        <w:t xml:space="preserve"> include known developments and aspirations</w:t>
      </w:r>
      <w:r w:rsidR="00000686">
        <w:t>, but only if approved by PRG.  Some step changes should be held outside of the plans until finalised.</w:t>
      </w:r>
    </w:p>
    <w:p w:rsidR="00B938F3" w:rsidRPr="002F4FA9" w:rsidRDefault="00B938F3" w:rsidP="00B938F3">
      <w:pPr>
        <w:pStyle w:val="NoSpacing"/>
        <w:numPr>
          <w:ilvl w:val="0"/>
          <w:numId w:val="22"/>
        </w:numPr>
      </w:pPr>
      <w:r w:rsidRPr="002F4FA9">
        <w:t>Aspirations</w:t>
      </w:r>
    </w:p>
    <w:p w:rsidR="00B938F3" w:rsidRPr="002F4FA9" w:rsidRDefault="00541663" w:rsidP="00B938F3">
      <w:pPr>
        <w:pStyle w:val="NoSpacing"/>
        <w:numPr>
          <w:ilvl w:val="1"/>
          <w:numId w:val="22"/>
        </w:numPr>
      </w:pPr>
      <w:r w:rsidRPr="002F4FA9">
        <w:lastRenderedPageBreak/>
        <w:t>Significant a</w:t>
      </w:r>
      <w:r w:rsidR="00B938F3" w:rsidRPr="002F4FA9">
        <w:t xml:space="preserve">spirations </w:t>
      </w:r>
      <w:r w:rsidR="008A2DE3" w:rsidRPr="008A2DE3">
        <w:rPr>
          <w:color w:val="7030A0"/>
        </w:rPr>
        <w:t>should</w:t>
      </w:r>
      <w:r w:rsidR="00B938F3" w:rsidRPr="002F4FA9">
        <w:t xml:space="preserve"> be identified</w:t>
      </w:r>
      <w:r w:rsidRPr="002F4FA9">
        <w:t>, with details of both the known elements and the risk factors</w:t>
      </w:r>
    </w:p>
    <w:p w:rsidR="00B938F3" w:rsidRPr="002F4FA9" w:rsidRDefault="00B938F3" w:rsidP="00B938F3">
      <w:pPr>
        <w:pStyle w:val="NoSpacing"/>
        <w:numPr>
          <w:ilvl w:val="0"/>
          <w:numId w:val="22"/>
        </w:numPr>
      </w:pPr>
      <w:r w:rsidRPr="002F4FA9">
        <w:t>Pipelines</w:t>
      </w:r>
    </w:p>
    <w:p w:rsidR="00541663" w:rsidRPr="002F4FA9" w:rsidRDefault="00541663" w:rsidP="00541663">
      <w:pPr>
        <w:pStyle w:val="NoSpacing"/>
        <w:numPr>
          <w:ilvl w:val="1"/>
          <w:numId w:val="22"/>
        </w:numPr>
      </w:pPr>
      <w:r w:rsidRPr="002F4FA9">
        <w:t xml:space="preserve">We have a good indication of what certain types of income (and costs) will be because of things that have already happened.  These include not just obvious things such as UG and research grants / applications, but also things such as existing procurement contracts, where the end of a contract period </w:t>
      </w:r>
      <w:r w:rsidR="008A2DE3" w:rsidRPr="0095208B">
        <w:t>may</w:t>
      </w:r>
      <w:r w:rsidRPr="002F4FA9">
        <w:t xml:space="preserve"> lead to a market adjustment taking place.</w:t>
      </w:r>
    </w:p>
    <w:p w:rsidR="00B938F3" w:rsidRPr="002F4FA9" w:rsidRDefault="00B938F3" w:rsidP="00B938F3">
      <w:pPr>
        <w:pStyle w:val="NoSpacing"/>
        <w:numPr>
          <w:ilvl w:val="0"/>
          <w:numId w:val="22"/>
        </w:numPr>
      </w:pPr>
      <w:r w:rsidRPr="002F4FA9">
        <w:t>Prudence</w:t>
      </w:r>
    </w:p>
    <w:p w:rsidR="00B938F3" w:rsidRDefault="00541663" w:rsidP="002C7F6C">
      <w:pPr>
        <w:pStyle w:val="NoSpacing"/>
        <w:numPr>
          <w:ilvl w:val="1"/>
          <w:numId w:val="22"/>
        </w:numPr>
      </w:pPr>
      <w:r w:rsidRPr="002F4FA9">
        <w:t xml:space="preserve">Prudence refers not only to having a sound basis for any development activity, but also being realistic about what </w:t>
      </w:r>
      <w:r w:rsidR="008A2DE3" w:rsidRPr="0095208B">
        <w:t>can</w:t>
      </w:r>
      <w:r w:rsidRPr="002F4FA9">
        <w:t xml:space="preserve"> be achieved in the time given.  There </w:t>
      </w:r>
      <w:r w:rsidR="008A2DE3" w:rsidRPr="0095208B">
        <w:t>may</w:t>
      </w:r>
      <w:r w:rsidRPr="002F4FA9">
        <w:t xml:space="preserve"> be many good ideas, but we </w:t>
      </w:r>
      <w:r w:rsidR="008A2DE3" w:rsidRPr="0095208B">
        <w:t>can</w:t>
      </w:r>
      <w:r w:rsidR="002F4FA9">
        <w:t xml:space="preserve"> only</w:t>
      </w:r>
      <w:r w:rsidRPr="002F4FA9">
        <w:t xml:space="preserve"> do </w:t>
      </w:r>
      <w:r w:rsidR="003B3973">
        <w:t>a limited number</w:t>
      </w:r>
      <w:r w:rsidRPr="002F4FA9">
        <w:t xml:space="preserve">. </w:t>
      </w:r>
    </w:p>
    <w:p w:rsidR="00AB2D62" w:rsidRDefault="00AB2D62" w:rsidP="00B938F3">
      <w:pPr>
        <w:rPr>
          <w:b/>
        </w:rPr>
      </w:pPr>
    </w:p>
    <w:p w:rsidR="00B938F3" w:rsidRDefault="00B938F3" w:rsidP="00B938F3">
      <w:pPr>
        <w:rPr>
          <w:b/>
        </w:rPr>
      </w:pPr>
      <w:r w:rsidRPr="00B72EBA">
        <w:rPr>
          <w:b/>
        </w:rPr>
        <w:t>VCEG Guidance</w:t>
      </w:r>
    </w:p>
    <w:p w:rsidR="00AB2D62" w:rsidRPr="00B72EBA" w:rsidRDefault="00AB2D62" w:rsidP="00B938F3">
      <w:pPr>
        <w:rPr>
          <w:b/>
        </w:rPr>
      </w:pPr>
      <w:r>
        <w:rPr>
          <w:b/>
        </w:rPr>
        <w:t>Following the VCEG planning residential in September 2013, a revised planning framework was agreed and communicated.  Within this were a number of financial planning parameters:</w:t>
      </w:r>
    </w:p>
    <w:p w:rsidR="0045596A" w:rsidRPr="004C54B2" w:rsidRDefault="0045596A" w:rsidP="0045596A">
      <w:pPr>
        <w:pStyle w:val="ListParagraph"/>
        <w:numPr>
          <w:ilvl w:val="0"/>
          <w:numId w:val="24"/>
        </w:numPr>
        <w:spacing w:before="0" w:beforeAutospacing="0" w:after="200" w:afterAutospacing="0" w:line="276" w:lineRule="auto"/>
        <w:ind w:left="318" w:hanging="284"/>
        <w:rPr>
          <w:rFonts w:asciiTheme="minorHAnsi" w:hAnsiTheme="minorHAnsi"/>
          <w:sz w:val="22"/>
          <w:szCs w:val="22"/>
        </w:rPr>
      </w:pPr>
      <w:r w:rsidRPr="00B72EBA">
        <w:rPr>
          <w:rFonts w:asciiTheme="minorHAnsi" w:hAnsiTheme="minorHAnsi"/>
          <w:sz w:val="22"/>
          <w:szCs w:val="22"/>
        </w:rPr>
        <w:t xml:space="preserve">Submitted plans will need to show </w:t>
      </w:r>
      <w:r w:rsidRPr="00B72EBA">
        <w:rPr>
          <w:rFonts w:asciiTheme="minorHAnsi" w:hAnsiTheme="minorHAnsi"/>
          <w:b/>
          <w:bCs/>
          <w:sz w:val="22"/>
          <w:szCs w:val="22"/>
        </w:rPr>
        <w:t>increased levels of contribution</w:t>
      </w:r>
      <w:r w:rsidRPr="00B72EBA">
        <w:rPr>
          <w:rFonts w:asciiTheme="minorHAnsi" w:hAnsiTheme="minorHAnsi"/>
          <w:sz w:val="22"/>
          <w:szCs w:val="22"/>
        </w:rPr>
        <w:t xml:space="preserve"> over the planning period, </w:t>
      </w:r>
      <w:r w:rsidRPr="004C54B2">
        <w:rPr>
          <w:rFonts w:asciiTheme="minorHAnsi" w:hAnsiTheme="minorHAnsi"/>
          <w:sz w:val="22"/>
          <w:szCs w:val="22"/>
        </w:rPr>
        <w:t xml:space="preserve">reflecting the requirement to deliver a level of EBITDA that is higher than the baseline. </w:t>
      </w:r>
    </w:p>
    <w:p w:rsidR="0045596A" w:rsidRPr="004C54B2" w:rsidRDefault="0045596A" w:rsidP="0045596A">
      <w:pPr>
        <w:pStyle w:val="ListParagraph"/>
        <w:numPr>
          <w:ilvl w:val="0"/>
          <w:numId w:val="24"/>
        </w:numPr>
        <w:spacing w:before="0" w:beforeAutospacing="0" w:after="200" w:afterAutospacing="0" w:line="276" w:lineRule="auto"/>
        <w:ind w:left="318" w:hanging="284"/>
        <w:rPr>
          <w:rFonts w:asciiTheme="minorHAnsi" w:hAnsiTheme="minorHAnsi"/>
          <w:sz w:val="22"/>
          <w:szCs w:val="22"/>
        </w:rPr>
      </w:pPr>
      <w:r w:rsidRPr="004C54B2">
        <w:rPr>
          <w:rFonts w:asciiTheme="minorHAnsi" w:hAnsiTheme="minorHAnsi"/>
          <w:b/>
          <w:bCs/>
          <w:sz w:val="22"/>
          <w:szCs w:val="22"/>
        </w:rPr>
        <w:t xml:space="preserve">Colleges </w:t>
      </w:r>
      <w:r w:rsidR="008A2DE3" w:rsidRPr="004C54B2">
        <w:rPr>
          <w:rFonts w:asciiTheme="minorHAnsi" w:hAnsiTheme="minorHAnsi"/>
          <w:b/>
          <w:bCs/>
          <w:sz w:val="22"/>
          <w:szCs w:val="22"/>
        </w:rPr>
        <w:t>should</w:t>
      </w:r>
      <w:r w:rsidRPr="004C54B2">
        <w:rPr>
          <w:rFonts w:asciiTheme="minorHAnsi" w:hAnsiTheme="minorHAnsi"/>
          <w:b/>
          <w:bCs/>
          <w:sz w:val="22"/>
          <w:szCs w:val="22"/>
        </w:rPr>
        <w:t xml:space="preserve"> not submit plans that reduce the level of cash contribution</w:t>
      </w:r>
      <w:r w:rsidRPr="004C54B2">
        <w:rPr>
          <w:rFonts w:asciiTheme="minorHAnsi" w:hAnsiTheme="minorHAnsi"/>
          <w:sz w:val="22"/>
          <w:szCs w:val="22"/>
        </w:rPr>
        <w:t xml:space="preserve"> set out in their baseline 5-year plans.</w:t>
      </w:r>
    </w:p>
    <w:p w:rsidR="0045596A" w:rsidRPr="004C54B2" w:rsidRDefault="0045596A" w:rsidP="0045596A">
      <w:pPr>
        <w:pStyle w:val="ListParagraph"/>
        <w:numPr>
          <w:ilvl w:val="0"/>
          <w:numId w:val="24"/>
        </w:numPr>
        <w:spacing w:before="0" w:beforeAutospacing="0" w:after="200" w:afterAutospacing="0" w:line="276" w:lineRule="auto"/>
        <w:ind w:left="318" w:hanging="284"/>
        <w:rPr>
          <w:rFonts w:asciiTheme="minorHAnsi" w:hAnsiTheme="minorHAnsi"/>
          <w:sz w:val="22"/>
          <w:szCs w:val="22"/>
        </w:rPr>
      </w:pPr>
      <w:r w:rsidRPr="004C54B2">
        <w:rPr>
          <w:rFonts w:asciiTheme="minorHAnsi" w:hAnsiTheme="minorHAnsi"/>
          <w:sz w:val="22"/>
          <w:szCs w:val="22"/>
        </w:rPr>
        <w:t xml:space="preserve">Colleges </w:t>
      </w:r>
      <w:r w:rsidR="008A2DE3" w:rsidRPr="00121BCD">
        <w:rPr>
          <w:rFonts w:asciiTheme="minorHAnsi" w:hAnsiTheme="minorHAnsi"/>
          <w:b/>
          <w:color w:val="7030A0"/>
          <w:sz w:val="22"/>
          <w:szCs w:val="22"/>
        </w:rPr>
        <w:t>should</w:t>
      </w:r>
      <w:r w:rsidRPr="004C54B2">
        <w:rPr>
          <w:rFonts w:asciiTheme="minorHAnsi" w:hAnsiTheme="minorHAnsi"/>
          <w:sz w:val="22"/>
          <w:szCs w:val="22"/>
        </w:rPr>
        <w:t xml:space="preserve"> plan on the basis that they </w:t>
      </w:r>
      <w:r w:rsidRPr="004C54B2">
        <w:rPr>
          <w:rFonts w:asciiTheme="minorHAnsi" w:hAnsiTheme="minorHAnsi"/>
          <w:b/>
          <w:bCs/>
          <w:sz w:val="22"/>
          <w:szCs w:val="22"/>
        </w:rPr>
        <w:t>retain a maximum of 70% of any additional income above current (2012/13) baseline plans</w:t>
      </w:r>
      <w:r w:rsidRPr="004C54B2">
        <w:rPr>
          <w:rFonts w:asciiTheme="minorHAnsi" w:hAnsiTheme="minorHAnsi"/>
          <w:sz w:val="22"/>
          <w:szCs w:val="22"/>
        </w:rPr>
        <w:t xml:space="preserve">. </w:t>
      </w:r>
      <w:r w:rsidR="00A00375">
        <w:rPr>
          <w:rFonts w:asciiTheme="minorHAnsi" w:hAnsiTheme="minorHAnsi"/>
          <w:sz w:val="22"/>
          <w:szCs w:val="22"/>
        </w:rPr>
        <w:t>This is a guidance figure, and recognises that the costs of any particular project will be spread across the university, and not just in the college.</w:t>
      </w:r>
    </w:p>
    <w:p w:rsidR="0045596A" w:rsidRPr="004C54B2" w:rsidRDefault="0045596A" w:rsidP="0045596A">
      <w:pPr>
        <w:pStyle w:val="ListParagraph"/>
        <w:numPr>
          <w:ilvl w:val="0"/>
          <w:numId w:val="24"/>
        </w:numPr>
        <w:spacing w:before="0" w:beforeAutospacing="0" w:after="200" w:afterAutospacing="0" w:line="276" w:lineRule="auto"/>
        <w:ind w:left="318" w:hanging="284"/>
        <w:rPr>
          <w:rFonts w:asciiTheme="minorHAnsi" w:hAnsiTheme="minorHAnsi"/>
          <w:sz w:val="22"/>
          <w:szCs w:val="22"/>
        </w:rPr>
      </w:pPr>
      <w:r w:rsidRPr="004C54B2">
        <w:rPr>
          <w:rFonts w:asciiTheme="minorHAnsi" w:hAnsiTheme="minorHAnsi"/>
          <w:b/>
          <w:bCs/>
          <w:sz w:val="22"/>
          <w:szCs w:val="22"/>
        </w:rPr>
        <w:t xml:space="preserve">Plans </w:t>
      </w:r>
      <w:r w:rsidR="008A2DE3" w:rsidRPr="004C54B2">
        <w:rPr>
          <w:rFonts w:asciiTheme="minorHAnsi" w:hAnsiTheme="minorHAnsi"/>
          <w:b/>
          <w:bCs/>
          <w:sz w:val="22"/>
          <w:szCs w:val="22"/>
        </w:rPr>
        <w:t>should</w:t>
      </w:r>
      <w:r w:rsidRPr="004C54B2">
        <w:rPr>
          <w:rFonts w:asciiTheme="minorHAnsi" w:hAnsiTheme="minorHAnsi"/>
          <w:b/>
          <w:bCs/>
          <w:sz w:val="22"/>
          <w:szCs w:val="22"/>
        </w:rPr>
        <w:t xml:space="preserve"> not result in the staff-cost ratio (staff costs to total College income) </w:t>
      </w:r>
      <w:r w:rsidR="00EE2BF9" w:rsidRPr="004C54B2">
        <w:rPr>
          <w:rFonts w:asciiTheme="minorHAnsi" w:hAnsiTheme="minorHAnsi"/>
          <w:sz w:val="22"/>
          <w:szCs w:val="22"/>
        </w:rPr>
        <w:t xml:space="preserve">increasing above </w:t>
      </w:r>
      <w:r w:rsidRPr="004C54B2">
        <w:rPr>
          <w:rFonts w:asciiTheme="minorHAnsi" w:hAnsiTheme="minorHAnsi"/>
          <w:sz w:val="22"/>
          <w:szCs w:val="22"/>
        </w:rPr>
        <w:t xml:space="preserve">its baseline level over the planning period.   </w:t>
      </w:r>
    </w:p>
    <w:p w:rsidR="0045596A" w:rsidRPr="004C54B2" w:rsidRDefault="0045596A" w:rsidP="0045596A">
      <w:pPr>
        <w:pStyle w:val="ListParagraph"/>
        <w:numPr>
          <w:ilvl w:val="0"/>
          <w:numId w:val="24"/>
        </w:numPr>
        <w:spacing w:before="0" w:beforeAutospacing="0" w:after="200" w:afterAutospacing="0" w:line="276" w:lineRule="auto"/>
        <w:ind w:left="318" w:hanging="284"/>
        <w:rPr>
          <w:rFonts w:asciiTheme="minorHAnsi" w:hAnsiTheme="minorHAnsi"/>
          <w:sz w:val="22"/>
          <w:szCs w:val="22"/>
        </w:rPr>
      </w:pPr>
      <w:r w:rsidRPr="004C54B2">
        <w:rPr>
          <w:rFonts w:asciiTheme="minorHAnsi" w:hAnsiTheme="minorHAnsi"/>
          <w:b/>
          <w:bCs/>
          <w:sz w:val="22"/>
          <w:szCs w:val="22"/>
        </w:rPr>
        <w:t xml:space="preserve">From 2014/15 onwards Colleges </w:t>
      </w:r>
      <w:r w:rsidR="008A2DE3" w:rsidRPr="004C54B2">
        <w:rPr>
          <w:rFonts w:asciiTheme="minorHAnsi" w:hAnsiTheme="minorHAnsi"/>
          <w:b/>
          <w:bCs/>
          <w:sz w:val="22"/>
          <w:szCs w:val="22"/>
        </w:rPr>
        <w:t>should</w:t>
      </w:r>
      <w:r w:rsidRPr="004C54B2">
        <w:rPr>
          <w:rFonts w:asciiTheme="minorHAnsi" w:hAnsiTheme="minorHAnsi"/>
          <w:b/>
          <w:bCs/>
          <w:sz w:val="22"/>
          <w:szCs w:val="22"/>
        </w:rPr>
        <w:t xml:space="preserve"> plan to increase their baseline rate of contribution by 0.8 percentage points</w:t>
      </w:r>
      <w:r w:rsidRPr="004C54B2">
        <w:rPr>
          <w:rFonts w:asciiTheme="minorHAnsi" w:hAnsiTheme="minorHAnsi"/>
          <w:sz w:val="22"/>
          <w:szCs w:val="22"/>
        </w:rPr>
        <w:t xml:space="preserve"> in each and every year (e.g. if the baseline contribution rate is 25% in 14/15 and 25.5% in 15/16 then the new plan </w:t>
      </w:r>
      <w:r w:rsidR="008A2DE3" w:rsidRPr="004C54B2">
        <w:rPr>
          <w:rFonts w:asciiTheme="minorHAnsi" w:hAnsiTheme="minorHAnsi"/>
          <w:sz w:val="22"/>
          <w:szCs w:val="22"/>
        </w:rPr>
        <w:t>should</w:t>
      </w:r>
      <w:r w:rsidRPr="004C54B2">
        <w:rPr>
          <w:rFonts w:asciiTheme="minorHAnsi" w:hAnsiTheme="minorHAnsi"/>
          <w:sz w:val="22"/>
          <w:szCs w:val="22"/>
        </w:rPr>
        <w:t xml:space="preserve"> result in a minimum of 25.8% and 26.3% respectively before any new income streams above the baseline are added in). This requirement is in </w:t>
      </w:r>
      <w:r w:rsidRPr="004C54B2">
        <w:rPr>
          <w:rFonts w:asciiTheme="minorHAnsi" w:hAnsiTheme="minorHAnsi"/>
          <w:sz w:val="22"/>
          <w:szCs w:val="22"/>
          <w:u w:val="single"/>
        </w:rPr>
        <w:t>addition</w:t>
      </w:r>
      <w:r w:rsidRPr="004C54B2">
        <w:rPr>
          <w:rFonts w:asciiTheme="minorHAnsi" w:hAnsiTheme="minorHAnsi"/>
          <w:sz w:val="22"/>
          <w:szCs w:val="22"/>
        </w:rPr>
        <w:t xml:space="preserve"> to the permitted retention of a maximum of 70% of new above baseline income streams. Its purpose is to provide some headroom to accommodate planning in Professional Services and of infrastructure in order to be able to support planned baseline growth in Colleges.</w:t>
      </w:r>
    </w:p>
    <w:p w:rsidR="0045596A" w:rsidRPr="004C54B2" w:rsidRDefault="0045596A" w:rsidP="0045596A">
      <w:pPr>
        <w:pStyle w:val="ListParagraph"/>
        <w:numPr>
          <w:ilvl w:val="0"/>
          <w:numId w:val="24"/>
        </w:numPr>
        <w:spacing w:before="0" w:beforeAutospacing="0" w:after="200" w:afterAutospacing="0" w:line="276" w:lineRule="auto"/>
        <w:ind w:left="318" w:hanging="284"/>
        <w:rPr>
          <w:rFonts w:asciiTheme="minorHAnsi" w:hAnsiTheme="minorHAnsi"/>
          <w:sz w:val="22"/>
          <w:szCs w:val="22"/>
        </w:rPr>
      </w:pPr>
      <w:r w:rsidRPr="004C54B2">
        <w:rPr>
          <w:rFonts w:asciiTheme="minorHAnsi" w:hAnsiTheme="minorHAnsi"/>
          <w:sz w:val="22"/>
          <w:szCs w:val="22"/>
        </w:rPr>
        <w:t xml:space="preserve">In submitting new plans </w:t>
      </w:r>
      <w:r w:rsidRPr="004C54B2">
        <w:rPr>
          <w:rFonts w:asciiTheme="minorHAnsi" w:hAnsiTheme="minorHAnsi"/>
          <w:b/>
          <w:bCs/>
          <w:sz w:val="22"/>
          <w:szCs w:val="22"/>
        </w:rPr>
        <w:t>PRG will not expect to see a decline in the</w:t>
      </w:r>
      <w:r w:rsidRPr="004C54B2">
        <w:rPr>
          <w:rFonts w:asciiTheme="minorHAnsi" w:hAnsiTheme="minorHAnsi"/>
          <w:sz w:val="22"/>
          <w:szCs w:val="22"/>
        </w:rPr>
        <w:t xml:space="preserve"> </w:t>
      </w:r>
      <w:r w:rsidRPr="004C54B2">
        <w:rPr>
          <w:rFonts w:asciiTheme="minorHAnsi" w:hAnsiTheme="minorHAnsi"/>
          <w:b/>
          <w:bCs/>
          <w:sz w:val="22"/>
          <w:szCs w:val="22"/>
        </w:rPr>
        <w:t>rate of contribution</w:t>
      </w:r>
      <w:r w:rsidRPr="004C54B2">
        <w:rPr>
          <w:rFonts w:asciiTheme="minorHAnsi" w:hAnsiTheme="minorHAnsi"/>
          <w:sz w:val="22"/>
          <w:szCs w:val="22"/>
        </w:rPr>
        <w:t xml:space="preserve"> (contribution as a % of College income) over the planning period.</w:t>
      </w:r>
    </w:p>
    <w:p w:rsidR="0045596A" w:rsidRDefault="0045596A" w:rsidP="00B876E0">
      <w:r w:rsidRPr="004C54B2">
        <w:t xml:space="preserve">Colleges </w:t>
      </w:r>
      <w:r w:rsidR="008A2DE3" w:rsidRPr="004C54B2">
        <w:t>should</w:t>
      </w:r>
      <w:r w:rsidRPr="004C54B2">
        <w:t xml:space="preserve"> not reduce any purchase of services from, or reduce any financial contribution to, central Professional Services without obtaining the prior agreement of the COO so that Colleges and Professional Services budget consistently.</w:t>
      </w:r>
    </w:p>
    <w:p w:rsidR="00AB2D62" w:rsidRPr="004C54B2" w:rsidRDefault="00AB2D62" w:rsidP="00B876E0">
      <w:r>
        <w:t xml:space="preserve">The calculation of the above parameters is not meant to be an “exact science” rather the various points were devised to address some specific points as raised by VCEG and Council including the </w:t>
      </w:r>
      <w:r>
        <w:lastRenderedPageBreak/>
        <w:t>increase of the University’s surplus to a more acceptable level to fund investment and debt servicing in the future.</w:t>
      </w:r>
    </w:p>
    <w:p w:rsidR="00EC6AF2" w:rsidRDefault="00000686" w:rsidP="00EC6AF2">
      <w:pPr>
        <w:pStyle w:val="Heading2"/>
      </w:pPr>
      <w:bookmarkStart w:id="19" w:name="_Toc384902681"/>
      <w:r>
        <w:t>Must/Should/May</w:t>
      </w:r>
      <w:bookmarkEnd w:id="19"/>
    </w:p>
    <w:p w:rsidR="00000686" w:rsidRDefault="00000686" w:rsidP="00EC6AF2">
      <w:r>
        <w:t>This document is generally not prescriptive</w:t>
      </w:r>
      <w:r w:rsidR="007C194C">
        <w:t>, but advises and suggests suitable approaches.  What it does say is that where you choose to depart from a recommended approach, you have to explain why, with justification.</w:t>
      </w:r>
    </w:p>
    <w:p w:rsidR="00EC6AF2" w:rsidRDefault="007C194C" w:rsidP="00EC6AF2">
      <w:r>
        <w:t xml:space="preserve">In order to have clarity on what is prescriptive and what is not, </w:t>
      </w:r>
      <w:r w:rsidR="00EC6AF2">
        <w:t xml:space="preserve">certain words </w:t>
      </w:r>
      <w:r>
        <w:t xml:space="preserve">within this document </w:t>
      </w:r>
      <w:r w:rsidR="00EC6AF2">
        <w:t>have specific meanings</w:t>
      </w:r>
      <w:r w:rsidR="004C54B2">
        <w:t xml:space="preserve"> when shown in </w:t>
      </w:r>
      <w:r w:rsidR="004C54B2" w:rsidRPr="004C54B2">
        <w:rPr>
          <w:color w:val="7030A0"/>
        </w:rPr>
        <w:t>colour</w:t>
      </w:r>
      <w:r w:rsidR="00EC6AF2">
        <w:t>.</w:t>
      </w:r>
    </w:p>
    <w:p w:rsidR="00EC6AF2" w:rsidRDefault="008A2DE3" w:rsidP="00EC6AF2">
      <w:r w:rsidRPr="008A2DE3">
        <w:rPr>
          <w:color w:val="7030A0"/>
        </w:rPr>
        <w:t>Must</w:t>
      </w:r>
      <w:r w:rsidR="00EC6AF2">
        <w:t xml:space="preserve">: The plan </w:t>
      </w:r>
      <w:r w:rsidRPr="008A2DE3">
        <w:rPr>
          <w:b/>
          <w:color w:val="7030A0"/>
        </w:rPr>
        <w:t>must</w:t>
      </w:r>
      <w:r w:rsidR="00EC6AF2">
        <w:t xml:space="preserve"> follow this guidance. This is used where a failure to follow will mean the overall plan will be internally inconsistent</w:t>
      </w:r>
      <w:r w:rsidR="004C54B2">
        <w:t>, or where accounting rules require it.</w:t>
      </w:r>
    </w:p>
    <w:p w:rsidR="00EC6AF2" w:rsidRDefault="008A2DE3" w:rsidP="00EC6AF2">
      <w:r w:rsidRPr="008A2DE3">
        <w:rPr>
          <w:color w:val="7030A0"/>
        </w:rPr>
        <w:t>Should</w:t>
      </w:r>
      <w:r w:rsidR="00EC6AF2">
        <w:t xml:space="preserve">: This is the recommended </w:t>
      </w:r>
      <w:r>
        <w:t xml:space="preserve">approach. Colleges and Services </w:t>
      </w:r>
      <w:r w:rsidRPr="008A2DE3">
        <w:rPr>
          <w:color w:val="7030A0"/>
        </w:rPr>
        <w:t>may</w:t>
      </w:r>
      <w:r>
        <w:t xml:space="preserve"> vary from this, but </w:t>
      </w:r>
      <w:r w:rsidRPr="008A2DE3">
        <w:rPr>
          <w:color w:val="7030A0"/>
        </w:rPr>
        <w:t>must</w:t>
      </w:r>
      <w:r>
        <w:t xml:space="preserve"> provide justification.</w:t>
      </w:r>
    </w:p>
    <w:p w:rsidR="008A2DE3" w:rsidRDefault="008A2DE3" w:rsidP="00EC6AF2">
      <w:r w:rsidRPr="008A2DE3">
        <w:rPr>
          <w:color w:val="7030A0"/>
        </w:rPr>
        <w:t>May</w:t>
      </w:r>
      <w:r>
        <w:t xml:space="preserve">: Colleges </w:t>
      </w:r>
      <w:r w:rsidRPr="008A2DE3">
        <w:rPr>
          <w:color w:val="7030A0"/>
        </w:rPr>
        <w:t>may</w:t>
      </w:r>
      <w:r>
        <w:t xml:space="preserve">, at their discretion, consider building this into their plan. </w:t>
      </w:r>
    </w:p>
    <w:p w:rsidR="002C7F6C" w:rsidRDefault="002C7F6C" w:rsidP="00EC6AF2">
      <w:r>
        <w:t>There is a specific section (</w:t>
      </w:r>
      <w:r w:rsidRPr="002C7F6C">
        <w:t>Additional Information</w:t>
      </w:r>
      <w:r>
        <w:t>) in the PRG3 reporting pack for reporting explanations required under “</w:t>
      </w:r>
      <w:r w:rsidRPr="002C7F6C">
        <w:rPr>
          <w:color w:val="7030A0"/>
        </w:rPr>
        <w:t>should</w:t>
      </w:r>
      <w:r>
        <w:t>”.</w:t>
      </w:r>
    </w:p>
    <w:p w:rsidR="001068E0" w:rsidRPr="00B72527" w:rsidRDefault="001068E0" w:rsidP="00B72527">
      <w:pPr>
        <w:pStyle w:val="Heading1"/>
      </w:pPr>
      <w:bookmarkStart w:id="20" w:name="_Toc384902682"/>
      <w:r w:rsidRPr="00B72527">
        <w:t>Income</w:t>
      </w:r>
      <w:bookmarkEnd w:id="18"/>
      <w:bookmarkEnd w:id="20"/>
    </w:p>
    <w:p w:rsidR="00E05AE3" w:rsidRPr="00E05AE3" w:rsidRDefault="001068E0" w:rsidP="00B72527">
      <w:pPr>
        <w:pStyle w:val="Heading2"/>
      </w:pPr>
      <w:bookmarkStart w:id="21" w:name="_Ref348086187"/>
      <w:bookmarkStart w:id="22" w:name="_Toc384902683"/>
      <w:r w:rsidRPr="00E05AE3">
        <w:t>Teaching</w:t>
      </w:r>
      <w:bookmarkEnd w:id="21"/>
      <w:r w:rsidR="00EA07AD">
        <w:t xml:space="preserve"> </w:t>
      </w:r>
      <w:r w:rsidR="00F234E0">
        <w:t xml:space="preserve">income </w:t>
      </w:r>
      <w:r w:rsidR="00EA07AD">
        <w:t>including bad debt</w:t>
      </w:r>
      <w:r w:rsidR="001E32AA">
        <w:t>s</w:t>
      </w:r>
      <w:bookmarkEnd w:id="22"/>
    </w:p>
    <w:p w:rsidR="00A0275C" w:rsidRPr="00A1739D" w:rsidRDefault="0033142E">
      <w:pPr>
        <w:rPr>
          <w:i/>
        </w:rPr>
      </w:pPr>
      <w:r w:rsidRPr="00A1739D">
        <w:rPr>
          <w:i/>
        </w:rPr>
        <w:t xml:space="preserve">Teaching grant </w:t>
      </w:r>
      <w:r w:rsidRPr="00A1739D">
        <w:t xml:space="preserve">rates are based upon the </w:t>
      </w:r>
      <w:r w:rsidR="0019409F">
        <w:t xml:space="preserve">previous </w:t>
      </w:r>
      <w:r w:rsidRPr="00A1739D">
        <w:t>HEFCE grant letter</w:t>
      </w:r>
      <w:r w:rsidR="00307945" w:rsidRPr="00A1739D">
        <w:t xml:space="preserve">.  Grant rates will be re-calculated </w:t>
      </w:r>
      <w:r w:rsidR="00AD3BD3" w:rsidRPr="00A1739D">
        <w:t xml:space="preserve">following the receipt of the </w:t>
      </w:r>
      <w:r w:rsidR="0019409F">
        <w:t xml:space="preserve">latest </w:t>
      </w:r>
      <w:r w:rsidR="00AD3BD3" w:rsidRPr="00A1739D">
        <w:t>HEFCE grant letter in March</w:t>
      </w:r>
      <w:r w:rsidR="0019409F">
        <w:t>,</w:t>
      </w:r>
      <w:r w:rsidR="00AD3BD3" w:rsidRPr="00A1739D">
        <w:t xml:space="preserve"> </w:t>
      </w:r>
      <w:r w:rsidR="00307945" w:rsidRPr="00A1739D">
        <w:t xml:space="preserve">and </w:t>
      </w:r>
      <w:r w:rsidR="00453CFB" w:rsidRPr="00A1739D">
        <w:t xml:space="preserve">the </w:t>
      </w:r>
      <w:r w:rsidR="00307945" w:rsidRPr="00A1739D">
        <w:t xml:space="preserve">impact to the University will be assessed post </w:t>
      </w:r>
      <w:r w:rsidR="00925E98" w:rsidRPr="00A1739D">
        <w:t>b</w:t>
      </w:r>
      <w:r w:rsidR="00307945" w:rsidRPr="00A1739D">
        <w:t>udget centre submission</w:t>
      </w:r>
      <w:r w:rsidR="00AC72F1">
        <w:t xml:space="preserve"> in March</w:t>
      </w:r>
      <w:r w:rsidR="00307945" w:rsidRPr="00A1739D">
        <w:t xml:space="preserve">.  </w:t>
      </w:r>
      <w:r w:rsidR="000D6873" w:rsidRPr="00A1739D">
        <w:t>Amended</w:t>
      </w:r>
      <w:r w:rsidR="00307945" w:rsidRPr="00A1739D">
        <w:t xml:space="preserve"> amounts will be entered into plans </w:t>
      </w:r>
      <w:r w:rsidR="00AC72F1">
        <w:t>following the</w:t>
      </w:r>
      <w:r w:rsidR="00A0275C" w:rsidRPr="00A1739D">
        <w:t xml:space="preserve"> </w:t>
      </w:r>
      <w:r w:rsidR="00307945" w:rsidRPr="00A1739D">
        <w:t xml:space="preserve">final submission </w:t>
      </w:r>
      <w:r w:rsidR="00A0275C" w:rsidRPr="00A1739D">
        <w:t>in June</w:t>
      </w:r>
      <w:r w:rsidR="00AC72F1">
        <w:t xml:space="preserve"> and the new baseline budgets will be calculated accordingly</w:t>
      </w:r>
    </w:p>
    <w:p w:rsidR="007848CB" w:rsidRDefault="0033142E">
      <w:r w:rsidRPr="00A1739D">
        <w:rPr>
          <w:i/>
        </w:rPr>
        <w:t>Fees</w:t>
      </w:r>
      <w:r w:rsidR="007848CB">
        <w:t xml:space="preserve"> are agreed by VCEG in June and the </w:t>
      </w:r>
      <w:r w:rsidR="007848CB">
        <w:rPr>
          <w:i/>
        </w:rPr>
        <w:t>Master fee table</w:t>
      </w:r>
      <w:r w:rsidR="007848CB">
        <w:t xml:space="preserve"> is available at the end of July.  It is this table that is then used to update the plans for the next calendar years intake i.e. the fees for 2015/16 will be approved by VCEG in June 2014.</w:t>
      </w:r>
      <w:r w:rsidR="000753E7">
        <w:t xml:space="preserve">  </w:t>
      </w:r>
      <w:r w:rsidR="00460C16">
        <w:t xml:space="preserve">No provision for increase in fees </w:t>
      </w:r>
      <w:r w:rsidR="008A2DE3" w:rsidRPr="004C54B2">
        <w:t>should</w:t>
      </w:r>
      <w:r w:rsidR="00460C16">
        <w:t xml:space="preserve"> be included within the plans unless PRG have approved the inclusion.</w:t>
      </w:r>
    </w:p>
    <w:p w:rsidR="002D3B1C" w:rsidRDefault="00307945">
      <w:r w:rsidRPr="002D3B1C">
        <w:rPr>
          <w:i/>
        </w:rPr>
        <w:t xml:space="preserve">Wastage </w:t>
      </w:r>
      <w:r w:rsidR="00DF6848" w:rsidRPr="002D3B1C">
        <w:t xml:space="preserve">% </w:t>
      </w:r>
    </w:p>
    <w:p w:rsidR="00C8424D" w:rsidRDefault="00C8424D" w:rsidP="00C8424D">
      <w:r>
        <w:t xml:space="preserve">As from November 2013, </w:t>
      </w:r>
      <w:r w:rsidR="00934F77" w:rsidRPr="00934F77">
        <w:t>Strategic Planning &amp; Change</w:t>
      </w:r>
      <w:r w:rsidR="00934F77">
        <w:t xml:space="preserve"> (SP&amp;C)</w:t>
      </w:r>
      <w:r>
        <w:t xml:space="preserve"> are going to supply the wastage rates for planned numbers, these will be centrally entered into Cognos.</w:t>
      </w:r>
    </w:p>
    <w:p w:rsidR="00C8424D" w:rsidRDefault="00C8424D" w:rsidP="00C8424D">
      <w:r>
        <w:t>Wastage will be available at level, fee status and discipline, and will separate out ‘wastage’ from ‘non returners’.  A two year average of historic data will be used, which will be calculated from a report run at the start of the year.  These will be entered into Cognos in November at the same time as the census data (i.e. in November 2013 year new rates for 2014/15 onwards will be entered).</w:t>
      </w:r>
    </w:p>
    <w:p w:rsidR="00261FAE" w:rsidRDefault="00261FAE">
      <w:pPr>
        <w:rPr>
          <w:i/>
        </w:rPr>
      </w:pPr>
      <w:r w:rsidRPr="00261FAE">
        <w:rPr>
          <w:i/>
        </w:rPr>
        <w:t>Teaching Load Adjustments</w:t>
      </w:r>
    </w:p>
    <w:p w:rsidR="00261FAE" w:rsidRDefault="00261FAE">
      <w:r>
        <w:lastRenderedPageBreak/>
        <w:t xml:space="preserve">For the budget, teaching loads are entered as simple FTE in and FTE out in Cognos.  These FTE adjustments </w:t>
      </w:r>
      <w:r w:rsidR="008A2DE3" w:rsidRPr="008A2DE3">
        <w:rPr>
          <w:color w:val="7030A0"/>
        </w:rPr>
        <w:t>should</w:t>
      </w:r>
      <w:r>
        <w:t xml:space="preserve"> be</w:t>
      </w:r>
      <w:r w:rsidR="004B5E16">
        <w:t xml:space="preserve"> in line with the current year load adjustment (as a %).  Any material movement away from this assumption should be highlighted with the narrative to PRG3.</w:t>
      </w:r>
    </w:p>
    <w:p w:rsidR="00FD148E" w:rsidRDefault="00FD148E">
      <w:r>
        <w:t>This will be reviewed at an institutional level to understand the overall impact on the University.</w:t>
      </w:r>
    </w:p>
    <w:p w:rsidR="00FD148E" w:rsidRPr="00261FAE" w:rsidRDefault="00FD148E">
      <w:r>
        <w:t>Consideration should be given to other Colleges when planning for load i.e. SSIS starting a new law programme around forensics that will attract students from Biosciences then both Colleges should be made aware of and agree the likely load impact.</w:t>
      </w:r>
    </w:p>
    <w:p w:rsidR="00806CFE" w:rsidRPr="000C1B87" w:rsidRDefault="004B772B">
      <w:pPr>
        <w:rPr>
          <w:i/>
        </w:rPr>
      </w:pPr>
      <w:r w:rsidRPr="000C1B87">
        <w:rPr>
          <w:i/>
        </w:rPr>
        <w:t>Bad debt</w:t>
      </w:r>
      <w:r w:rsidR="001E32AA" w:rsidRPr="000C1B87">
        <w:rPr>
          <w:i/>
        </w:rPr>
        <w:t>s</w:t>
      </w:r>
    </w:p>
    <w:p w:rsidR="00806CFE" w:rsidRPr="00226631" w:rsidRDefault="00806CFE">
      <w:pPr>
        <w:rPr>
          <w:color w:val="7030A0"/>
        </w:rPr>
      </w:pPr>
      <w:r w:rsidRPr="00226631">
        <w:t xml:space="preserve">Colleges </w:t>
      </w:r>
      <w:r w:rsidR="008A2DE3" w:rsidRPr="00226631">
        <w:rPr>
          <w:color w:val="7030A0"/>
        </w:rPr>
        <w:t>should</w:t>
      </w:r>
      <w:r w:rsidRPr="00226631">
        <w:t xml:space="preserve"> allow for bad debt costs as a percentage of income based on an average bad debt cost percentages over the previous three years.  Colleges </w:t>
      </w:r>
      <w:r w:rsidR="008A2DE3" w:rsidRPr="00226631">
        <w:rPr>
          <w:color w:val="7030A0"/>
        </w:rPr>
        <w:t>may</w:t>
      </w:r>
      <w:r w:rsidRPr="00226631">
        <w:t xml:space="preserve"> diverge from this amount if they have good reason to do so, but </w:t>
      </w:r>
      <w:r w:rsidR="008A2DE3" w:rsidRPr="00226631">
        <w:rPr>
          <w:color w:val="7030A0"/>
        </w:rPr>
        <w:t>must</w:t>
      </w:r>
      <w:r w:rsidRPr="00226631">
        <w:t xml:space="preserve"> explain why they think the historic percentage no longer ap</w:t>
      </w:r>
      <w:r w:rsidR="001C6A7F" w:rsidRPr="00226631">
        <w:t>plies, and provide the basis for the new calculation.</w:t>
      </w:r>
    </w:p>
    <w:p w:rsidR="001E32AA" w:rsidRDefault="001E32AA">
      <w:r w:rsidRPr="00226631">
        <w:t xml:space="preserve">Note that bad debt costs </w:t>
      </w:r>
      <w:r w:rsidR="004C54B2" w:rsidRPr="00226631">
        <w:rPr>
          <w:color w:val="7030A0"/>
        </w:rPr>
        <w:t>must</w:t>
      </w:r>
      <w:r w:rsidRPr="00226631">
        <w:t xml:space="preserve"> only be </w:t>
      </w:r>
      <w:r w:rsidR="00247676" w:rsidRPr="00226631">
        <w:t xml:space="preserve">budgeted based </w:t>
      </w:r>
      <w:r w:rsidRPr="00226631">
        <w:t xml:space="preserve">on debts arising in the year.  Bad debts arising from debtors at the start of the year </w:t>
      </w:r>
      <w:r w:rsidR="004C54B2" w:rsidRPr="00226631">
        <w:t>will</w:t>
      </w:r>
      <w:r w:rsidRPr="00226631">
        <w:t xml:space="preserve"> already be provided for.  There will, in practice, be adjustments to the opening provision, but these </w:t>
      </w:r>
      <w:r w:rsidR="008A2DE3" w:rsidRPr="00226631">
        <w:t>should</w:t>
      </w:r>
      <w:r w:rsidRPr="00226631">
        <w:t xml:space="preserve"> not be significant and </w:t>
      </w:r>
      <w:r w:rsidR="004C54B2" w:rsidRPr="00226631">
        <w:rPr>
          <w:color w:val="7030A0"/>
        </w:rPr>
        <w:t>must</w:t>
      </w:r>
      <w:r w:rsidRPr="00226631">
        <w:t xml:space="preserve"> not be allowed for in the budget.</w:t>
      </w:r>
    </w:p>
    <w:p w:rsidR="00AD32D9" w:rsidRDefault="00AD32D9">
      <w:r>
        <w:t>Bad debts must be shown gross (i.e. as a specific charge), and not netted off against income.</w:t>
      </w:r>
    </w:p>
    <w:p w:rsidR="00E05AE3" w:rsidRPr="00E05AE3" w:rsidRDefault="001068E0" w:rsidP="00B72527">
      <w:pPr>
        <w:pStyle w:val="Heading2"/>
      </w:pPr>
      <w:bookmarkStart w:id="23" w:name="_Ref348086194"/>
      <w:bookmarkStart w:id="24" w:name="_Toc384902684"/>
      <w:r w:rsidRPr="00E05AE3">
        <w:t>Research</w:t>
      </w:r>
      <w:bookmarkEnd w:id="23"/>
      <w:r w:rsidR="00EA07AD">
        <w:t xml:space="preserve"> </w:t>
      </w:r>
      <w:r w:rsidR="00F234E0">
        <w:t xml:space="preserve">income </w:t>
      </w:r>
      <w:r w:rsidR="00EA07AD">
        <w:t>including bad debt provision</w:t>
      </w:r>
      <w:bookmarkEnd w:id="24"/>
    </w:p>
    <w:p w:rsidR="000770A9" w:rsidRDefault="0030402E">
      <w:r>
        <w:t>D</w:t>
      </w:r>
      <w:r w:rsidR="000770A9">
        <w:t>efinitions:</w:t>
      </w:r>
    </w:p>
    <w:p w:rsidR="00020A48" w:rsidRPr="001B3BD9" w:rsidRDefault="000770A9" w:rsidP="000770A9">
      <w:pPr>
        <w:pStyle w:val="ListParagraph"/>
        <w:spacing w:before="0" w:beforeAutospacing="0" w:after="0" w:afterAutospacing="0"/>
        <w:rPr>
          <w:rFonts w:asciiTheme="minorHAnsi" w:hAnsiTheme="minorHAnsi"/>
          <w:sz w:val="22"/>
          <w:szCs w:val="22"/>
        </w:rPr>
      </w:pPr>
      <w:r w:rsidRPr="001B3BD9">
        <w:rPr>
          <w:rFonts w:asciiTheme="minorHAnsi" w:hAnsiTheme="minorHAnsi"/>
          <w:sz w:val="22"/>
          <w:szCs w:val="22"/>
        </w:rPr>
        <w:t xml:space="preserve">Gross Research Income: </w:t>
      </w:r>
    </w:p>
    <w:p w:rsidR="000770A9" w:rsidRPr="001B3BD9" w:rsidRDefault="000770A9" w:rsidP="000770A9">
      <w:pPr>
        <w:pStyle w:val="ListParagraph"/>
        <w:spacing w:before="0" w:beforeAutospacing="0" w:after="0" w:afterAutospacing="0"/>
        <w:rPr>
          <w:rFonts w:asciiTheme="minorHAnsi" w:hAnsiTheme="minorHAnsi"/>
          <w:sz w:val="22"/>
          <w:szCs w:val="22"/>
        </w:rPr>
      </w:pPr>
      <w:r w:rsidRPr="001B3BD9">
        <w:rPr>
          <w:rFonts w:asciiTheme="minorHAnsi" w:hAnsiTheme="minorHAnsi"/>
          <w:sz w:val="22"/>
          <w:szCs w:val="22"/>
        </w:rPr>
        <w:t xml:space="preserve">This is equivalent to research expenditure on the GR Ledger, with adjustments for depreciation </w:t>
      </w:r>
      <w:r w:rsidR="005736B2" w:rsidRPr="002F5B4C">
        <w:rPr>
          <w:rFonts w:asciiTheme="minorHAnsi" w:hAnsiTheme="minorHAnsi"/>
          <w:sz w:val="22"/>
          <w:szCs w:val="22"/>
        </w:rPr>
        <w:t>research related endowment income and split grants being</w:t>
      </w:r>
      <w:r w:rsidR="005736B2" w:rsidRPr="0019409F">
        <w:rPr>
          <w:rFonts w:asciiTheme="minorHAnsi" w:hAnsiTheme="minorHAnsi"/>
          <w:sz w:val="22"/>
          <w:szCs w:val="22"/>
        </w:rPr>
        <w:t xml:space="preserve"> </w:t>
      </w:r>
      <w:r w:rsidRPr="0019409F">
        <w:rPr>
          <w:rFonts w:asciiTheme="minorHAnsi" w:hAnsiTheme="minorHAnsi"/>
          <w:sz w:val="22"/>
          <w:szCs w:val="22"/>
        </w:rPr>
        <w:t>taken into consideration. Simply put:  it</w:t>
      </w:r>
      <w:r w:rsidRPr="001B3BD9">
        <w:rPr>
          <w:rFonts w:asciiTheme="minorHAnsi" w:hAnsiTheme="minorHAnsi"/>
          <w:sz w:val="22"/>
          <w:szCs w:val="22"/>
        </w:rPr>
        <w:t xml:space="preserve"> is equivalent to cash received +/- accruals/deferrals. </w:t>
      </w:r>
    </w:p>
    <w:p w:rsidR="001A0AB7" w:rsidRPr="001B3BD9" w:rsidRDefault="001A0AB7" w:rsidP="000770A9">
      <w:pPr>
        <w:pStyle w:val="ListParagraph"/>
        <w:spacing w:before="0" w:beforeAutospacing="0" w:after="0" w:afterAutospacing="0"/>
        <w:rPr>
          <w:rFonts w:asciiTheme="minorHAnsi" w:hAnsiTheme="minorHAnsi"/>
          <w:sz w:val="22"/>
          <w:szCs w:val="22"/>
        </w:rPr>
      </w:pPr>
    </w:p>
    <w:p w:rsidR="00020A48" w:rsidRPr="001B3BD9" w:rsidRDefault="000770A9" w:rsidP="000770A9">
      <w:pPr>
        <w:pStyle w:val="ListParagraph"/>
        <w:spacing w:before="0" w:beforeAutospacing="0" w:after="0" w:afterAutospacing="0"/>
        <w:rPr>
          <w:rFonts w:asciiTheme="minorHAnsi" w:hAnsiTheme="minorHAnsi"/>
          <w:sz w:val="22"/>
          <w:szCs w:val="22"/>
        </w:rPr>
      </w:pPr>
      <w:r w:rsidRPr="001B3BD9">
        <w:rPr>
          <w:rFonts w:asciiTheme="minorHAnsi" w:hAnsiTheme="minorHAnsi"/>
          <w:sz w:val="22"/>
          <w:szCs w:val="22"/>
        </w:rPr>
        <w:t>Re</w:t>
      </w:r>
      <w:r w:rsidR="00020A48" w:rsidRPr="001B3BD9">
        <w:rPr>
          <w:rFonts w:asciiTheme="minorHAnsi" w:hAnsiTheme="minorHAnsi"/>
          <w:sz w:val="22"/>
          <w:szCs w:val="22"/>
        </w:rPr>
        <w:t>search Earnings:</w:t>
      </w:r>
    </w:p>
    <w:p w:rsidR="000770A9" w:rsidRPr="001B3BD9" w:rsidRDefault="000770A9" w:rsidP="000770A9">
      <w:pPr>
        <w:pStyle w:val="ListParagraph"/>
        <w:spacing w:before="0" w:beforeAutospacing="0" w:after="0" w:afterAutospacing="0"/>
        <w:rPr>
          <w:rFonts w:asciiTheme="minorHAnsi" w:hAnsiTheme="minorHAnsi"/>
          <w:sz w:val="22"/>
          <w:szCs w:val="22"/>
        </w:rPr>
      </w:pPr>
      <w:r w:rsidRPr="001B3BD9">
        <w:rPr>
          <w:rFonts w:asciiTheme="minorHAnsi" w:hAnsiTheme="minorHAnsi"/>
          <w:sz w:val="22"/>
          <w:szCs w:val="22"/>
        </w:rPr>
        <w:t>This is the total of Gross Research Income after deducting both Direct Research Staff Costs and Direct Research Other Costs.</w:t>
      </w:r>
    </w:p>
    <w:p w:rsidR="000770A9" w:rsidRPr="00020A48" w:rsidRDefault="000770A9" w:rsidP="000770A9">
      <w:pPr>
        <w:pStyle w:val="ListParagraph"/>
        <w:spacing w:before="0" w:beforeAutospacing="0" w:after="0" w:afterAutospacing="0"/>
        <w:rPr>
          <w:rFonts w:asciiTheme="minorHAnsi" w:hAnsiTheme="minorHAnsi"/>
        </w:rPr>
      </w:pPr>
    </w:p>
    <w:p w:rsidR="000770A9" w:rsidRPr="00020A48" w:rsidRDefault="000770A9" w:rsidP="000770A9">
      <w:pPr>
        <w:rPr>
          <w:rFonts w:asciiTheme="minorHAnsi" w:hAnsiTheme="minorHAnsi"/>
        </w:rPr>
      </w:pPr>
      <w:r w:rsidRPr="00020A48">
        <w:rPr>
          <w:rFonts w:asciiTheme="minorHAnsi" w:hAnsiTheme="minorHAnsi"/>
        </w:rPr>
        <w:t>In building a plan for research income you need to identify the following four elements:</w:t>
      </w:r>
    </w:p>
    <w:p w:rsidR="005736B2" w:rsidRPr="00497524" w:rsidRDefault="005736B2" w:rsidP="005736B2">
      <w:pPr>
        <w:rPr>
          <w:rFonts w:asciiTheme="minorHAnsi" w:hAnsiTheme="minorHAnsi"/>
        </w:rPr>
      </w:pPr>
      <w:r w:rsidRPr="00020A48">
        <w:rPr>
          <w:rFonts w:asciiTheme="minorHAnsi" w:hAnsiTheme="minorHAnsi"/>
        </w:rPr>
        <w:t xml:space="preserve">Awards – Income from known awards (live grants) </w:t>
      </w:r>
      <w:r w:rsidRPr="0019409F">
        <w:rPr>
          <w:rFonts w:asciiTheme="minorHAnsi" w:hAnsiTheme="minorHAnsi"/>
        </w:rPr>
        <w:t xml:space="preserve">uploaded from PAC. </w:t>
      </w:r>
      <w:r w:rsidRPr="002F5B4C">
        <w:rPr>
          <w:rFonts w:asciiTheme="minorHAnsi" w:hAnsiTheme="minorHAnsi"/>
        </w:rPr>
        <w:t>This is profiled on a straight line basis across the grant period unless agreed differently between the college finance teams and Research Accounting. This will be on a grant by grant basis.</w:t>
      </w:r>
    </w:p>
    <w:p w:rsidR="000770A9" w:rsidRPr="00020A48" w:rsidRDefault="000770A9" w:rsidP="000770A9">
      <w:pPr>
        <w:rPr>
          <w:rFonts w:asciiTheme="minorHAnsi" w:hAnsiTheme="minorHAnsi"/>
        </w:rPr>
      </w:pPr>
      <w:r w:rsidRPr="00020A48">
        <w:rPr>
          <w:rFonts w:asciiTheme="minorHAnsi" w:hAnsiTheme="minorHAnsi"/>
        </w:rPr>
        <w:t>Applications – A weighted income from applications, awaiting decision, uploaded from PAC with a success rate applied</w:t>
      </w:r>
    </w:p>
    <w:p w:rsidR="000770A9" w:rsidRDefault="000770A9" w:rsidP="000770A9">
      <w:pPr>
        <w:rPr>
          <w:rFonts w:asciiTheme="minorHAnsi" w:hAnsiTheme="minorHAnsi"/>
        </w:rPr>
      </w:pPr>
      <w:r w:rsidRPr="00020A48">
        <w:rPr>
          <w:rFonts w:asciiTheme="minorHAnsi" w:hAnsiTheme="minorHAnsi"/>
        </w:rPr>
        <w:t xml:space="preserve">Unidentified – </w:t>
      </w:r>
      <w:r w:rsidR="000B7435" w:rsidRPr="00020A48">
        <w:rPr>
          <w:rFonts w:asciiTheme="minorHAnsi" w:hAnsiTheme="minorHAnsi"/>
        </w:rPr>
        <w:t>Planned applications with success rate to derive income, not appearing in PAC, such as pipeline business</w:t>
      </w:r>
      <w:r w:rsidR="000B7435">
        <w:rPr>
          <w:rFonts w:asciiTheme="minorHAnsi" w:hAnsiTheme="minorHAnsi"/>
        </w:rPr>
        <w:t>, plus u</w:t>
      </w:r>
      <w:r w:rsidRPr="00020A48">
        <w:rPr>
          <w:rFonts w:asciiTheme="minorHAnsi" w:hAnsiTheme="minorHAnsi"/>
        </w:rPr>
        <w:t xml:space="preserve">nknown award income from types of contracts that do not necessarily require applications, such as additional funding from industrial partners. </w:t>
      </w:r>
      <w:r w:rsidR="00804AC8">
        <w:rPr>
          <w:rFonts w:asciiTheme="minorHAnsi" w:hAnsiTheme="minorHAnsi"/>
        </w:rPr>
        <w:t xml:space="preserve"> </w:t>
      </w:r>
      <w:r w:rsidR="00267DBE">
        <w:rPr>
          <w:rFonts w:asciiTheme="minorHAnsi" w:hAnsiTheme="minorHAnsi"/>
        </w:rPr>
        <w:t xml:space="preserve">Colleges unidentified income </w:t>
      </w:r>
      <w:r w:rsidR="00267DBE" w:rsidRPr="00121BCD">
        <w:rPr>
          <w:rFonts w:asciiTheme="minorHAnsi" w:hAnsiTheme="minorHAnsi"/>
          <w:b/>
          <w:color w:val="7030A0"/>
        </w:rPr>
        <w:t>should</w:t>
      </w:r>
      <w:r w:rsidR="00267DBE">
        <w:rPr>
          <w:rFonts w:asciiTheme="minorHAnsi" w:hAnsiTheme="minorHAnsi"/>
        </w:rPr>
        <w:t xml:space="preserve"> </w:t>
      </w:r>
      <w:r w:rsidR="00804AC8">
        <w:rPr>
          <w:rFonts w:asciiTheme="minorHAnsi" w:hAnsiTheme="minorHAnsi"/>
        </w:rPr>
        <w:t xml:space="preserve">derive from a planned approach </w:t>
      </w:r>
      <w:r w:rsidR="00267DBE">
        <w:rPr>
          <w:rFonts w:asciiTheme="minorHAnsi" w:hAnsiTheme="minorHAnsi"/>
        </w:rPr>
        <w:t xml:space="preserve">which identifies target areas for applications, and as such </w:t>
      </w:r>
      <w:r w:rsidR="00267DBE">
        <w:rPr>
          <w:rFonts w:asciiTheme="minorHAnsi" w:hAnsiTheme="minorHAnsi"/>
          <w:b/>
          <w:color w:val="7030A0"/>
        </w:rPr>
        <w:t>should</w:t>
      </w:r>
      <w:r w:rsidR="00267DBE">
        <w:rPr>
          <w:rFonts w:asciiTheme="minorHAnsi" w:hAnsiTheme="minorHAnsi"/>
        </w:rPr>
        <w:t xml:space="preserve"> </w:t>
      </w:r>
      <w:r w:rsidR="00804AC8">
        <w:rPr>
          <w:rFonts w:asciiTheme="minorHAnsi" w:hAnsiTheme="minorHAnsi"/>
        </w:rPr>
        <w:t xml:space="preserve">be analysed </w:t>
      </w:r>
      <w:r w:rsidR="00267DBE">
        <w:rPr>
          <w:rFonts w:asciiTheme="minorHAnsi" w:hAnsiTheme="minorHAnsi"/>
        </w:rPr>
        <w:t xml:space="preserve">at the very least </w:t>
      </w:r>
      <w:r w:rsidR="00804AC8">
        <w:rPr>
          <w:rFonts w:asciiTheme="minorHAnsi" w:hAnsiTheme="minorHAnsi"/>
        </w:rPr>
        <w:t>by sponsor category</w:t>
      </w:r>
      <w:r w:rsidR="00267DBE">
        <w:rPr>
          <w:rFonts w:asciiTheme="minorHAnsi" w:hAnsiTheme="minorHAnsi"/>
        </w:rPr>
        <w:t>.</w:t>
      </w:r>
    </w:p>
    <w:p w:rsidR="000C1B87" w:rsidRPr="000C1B87" w:rsidRDefault="000C1B87" w:rsidP="000C1B87">
      <w:pPr>
        <w:rPr>
          <w:rFonts w:asciiTheme="minorHAnsi" w:hAnsiTheme="minorHAnsi"/>
          <w:i/>
        </w:rPr>
      </w:pPr>
      <w:r w:rsidRPr="000C1B87">
        <w:rPr>
          <w:rFonts w:asciiTheme="minorHAnsi" w:hAnsiTheme="minorHAnsi"/>
          <w:i/>
        </w:rPr>
        <w:lastRenderedPageBreak/>
        <w:t>Note: the previous “Aspirational” category has been removed – all other income is classified as Unidentified.</w:t>
      </w:r>
      <w:r w:rsidRPr="000C1B87" w:rsidDel="00845AD1">
        <w:rPr>
          <w:rFonts w:asciiTheme="minorHAnsi" w:hAnsiTheme="minorHAnsi"/>
          <w:i/>
        </w:rPr>
        <w:t xml:space="preserve"> </w:t>
      </w:r>
    </w:p>
    <w:p w:rsidR="00F86C9A" w:rsidRDefault="00F86C9A" w:rsidP="00F86C9A">
      <w:pPr>
        <w:rPr>
          <w:rFonts w:asciiTheme="minorHAnsi" w:hAnsiTheme="minorHAnsi"/>
        </w:rPr>
      </w:pPr>
      <w:r w:rsidRPr="00020A48">
        <w:rPr>
          <w:rFonts w:asciiTheme="minorHAnsi" w:hAnsiTheme="minorHAnsi"/>
        </w:rPr>
        <w:t xml:space="preserve">The Research income included </w:t>
      </w:r>
      <w:r w:rsidR="004C54B2">
        <w:rPr>
          <w:rFonts w:asciiTheme="minorHAnsi" w:hAnsiTheme="minorHAnsi"/>
          <w:color w:val="7030A0"/>
        </w:rPr>
        <w:t>must</w:t>
      </w:r>
      <w:r w:rsidRPr="00020A48">
        <w:rPr>
          <w:rFonts w:asciiTheme="minorHAnsi" w:hAnsiTheme="minorHAnsi"/>
        </w:rPr>
        <w:t xml:space="preserve"> reflect new research targets agreed at PRG2.</w:t>
      </w:r>
      <w:r w:rsidR="00151CDD" w:rsidRPr="00020A48">
        <w:rPr>
          <w:rFonts w:asciiTheme="minorHAnsi" w:hAnsiTheme="minorHAnsi"/>
        </w:rPr>
        <w:t xml:space="preserve">  The process of Research Budgeting and Monitoring is currently under review by a task and finish group, and guidance </w:t>
      </w:r>
      <w:r w:rsidR="008A2DE3" w:rsidRPr="004C54B2">
        <w:rPr>
          <w:rFonts w:asciiTheme="minorHAnsi" w:hAnsiTheme="minorHAnsi"/>
        </w:rPr>
        <w:t>may</w:t>
      </w:r>
      <w:r w:rsidR="00151CDD" w:rsidRPr="00020A48">
        <w:rPr>
          <w:rFonts w:asciiTheme="minorHAnsi" w:hAnsiTheme="minorHAnsi"/>
        </w:rPr>
        <w:t xml:space="preserve"> change.  In particular, </w:t>
      </w:r>
      <w:r w:rsidR="002662D7">
        <w:rPr>
          <w:rFonts w:asciiTheme="minorHAnsi" w:hAnsiTheme="minorHAnsi"/>
        </w:rPr>
        <w:t xml:space="preserve">there could be an agreed algorithm between the new research award </w:t>
      </w:r>
      <w:r w:rsidR="00151CDD" w:rsidRPr="00020A48">
        <w:rPr>
          <w:rFonts w:asciiTheme="minorHAnsi" w:hAnsiTheme="minorHAnsi"/>
        </w:rPr>
        <w:t xml:space="preserve">targets </w:t>
      </w:r>
      <w:r w:rsidR="002662D7">
        <w:rPr>
          <w:rFonts w:asciiTheme="minorHAnsi" w:hAnsiTheme="minorHAnsi"/>
        </w:rPr>
        <w:t>and the income shown in each financial year budget.</w:t>
      </w:r>
    </w:p>
    <w:p w:rsidR="000420AD" w:rsidRPr="00020A48" w:rsidRDefault="00A0275C" w:rsidP="000420AD">
      <w:pPr>
        <w:spacing w:after="0"/>
        <w:rPr>
          <w:rFonts w:asciiTheme="minorHAnsi" w:hAnsiTheme="minorHAnsi"/>
        </w:rPr>
      </w:pPr>
      <w:r w:rsidRPr="00020A48">
        <w:rPr>
          <w:rFonts w:asciiTheme="minorHAnsi" w:hAnsiTheme="minorHAnsi"/>
        </w:rPr>
        <w:t xml:space="preserve">Budget centres </w:t>
      </w:r>
      <w:r w:rsidR="008A2DE3" w:rsidRPr="008A2DE3">
        <w:rPr>
          <w:rFonts w:asciiTheme="minorHAnsi" w:hAnsiTheme="minorHAnsi"/>
          <w:color w:val="7030A0"/>
        </w:rPr>
        <w:t>should</w:t>
      </w:r>
      <w:r w:rsidRPr="00020A48">
        <w:rPr>
          <w:rFonts w:asciiTheme="minorHAnsi" w:hAnsiTheme="minorHAnsi"/>
        </w:rPr>
        <w:t xml:space="preserve"> ensure that the s</w:t>
      </w:r>
      <w:r w:rsidR="009F28DB" w:rsidRPr="00020A48">
        <w:rPr>
          <w:rFonts w:asciiTheme="minorHAnsi" w:hAnsiTheme="minorHAnsi"/>
        </w:rPr>
        <w:t xml:space="preserve">plit between staff and other operating costs </w:t>
      </w:r>
      <w:r w:rsidR="00774522" w:rsidRPr="00020A48">
        <w:rPr>
          <w:rFonts w:asciiTheme="minorHAnsi" w:hAnsiTheme="minorHAnsi"/>
        </w:rPr>
        <w:t xml:space="preserve">and different sponsor </w:t>
      </w:r>
      <w:r w:rsidR="00C3433F" w:rsidRPr="00020A48">
        <w:rPr>
          <w:rFonts w:asciiTheme="minorHAnsi" w:hAnsiTheme="minorHAnsi"/>
        </w:rPr>
        <w:t>categories</w:t>
      </w:r>
      <w:r w:rsidR="00774522" w:rsidRPr="00020A48">
        <w:rPr>
          <w:rFonts w:asciiTheme="minorHAnsi" w:hAnsiTheme="minorHAnsi"/>
        </w:rPr>
        <w:t xml:space="preserve"> </w:t>
      </w:r>
      <w:r w:rsidRPr="00020A48">
        <w:rPr>
          <w:rFonts w:asciiTheme="minorHAnsi" w:hAnsiTheme="minorHAnsi"/>
        </w:rPr>
        <w:t xml:space="preserve">entered into their plan is </w:t>
      </w:r>
      <w:r w:rsidR="009F28DB" w:rsidRPr="00020A48">
        <w:rPr>
          <w:rFonts w:asciiTheme="minorHAnsi" w:hAnsiTheme="minorHAnsi"/>
        </w:rPr>
        <w:t>in line with actual allocations</w:t>
      </w:r>
      <w:r w:rsidRPr="00020A48">
        <w:rPr>
          <w:rFonts w:asciiTheme="minorHAnsi" w:hAnsiTheme="minorHAnsi"/>
        </w:rPr>
        <w:t xml:space="preserve"> in the current year</w:t>
      </w:r>
      <w:r w:rsidR="009F28DB" w:rsidRPr="00020A48">
        <w:rPr>
          <w:rFonts w:asciiTheme="minorHAnsi" w:hAnsiTheme="minorHAnsi"/>
        </w:rPr>
        <w:t>.</w:t>
      </w:r>
    </w:p>
    <w:p w:rsidR="000420AD" w:rsidRPr="00020A48" w:rsidRDefault="000420AD" w:rsidP="000420AD">
      <w:pPr>
        <w:spacing w:after="0"/>
        <w:rPr>
          <w:rFonts w:asciiTheme="minorHAnsi" w:hAnsiTheme="minorHAnsi"/>
        </w:rPr>
      </w:pPr>
    </w:p>
    <w:p w:rsidR="000420AD" w:rsidRDefault="004C54B2" w:rsidP="000420AD">
      <w:pPr>
        <w:spacing w:after="0"/>
        <w:rPr>
          <w:rFonts w:asciiTheme="minorHAnsi" w:hAnsiTheme="minorHAnsi"/>
        </w:rPr>
      </w:pPr>
      <w:r>
        <w:rPr>
          <w:rFonts w:asciiTheme="minorHAnsi" w:hAnsiTheme="minorHAnsi"/>
        </w:rPr>
        <w:t xml:space="preserve">You </w:t>
      </w:r>
      <w:r w:rsidRPr="004C54B2">
        <w:rPr>
          <w:rFonts w:asciiTheme="minorHAnsi" w:hAnsiTheme="minorHAnsi"/>
          <w:color w:val="7030A0"/>
        </w:rPr>
        <w:t>must</w:t>
      </w:r>
      <w:r>
        <w:rPr>
          <w:rFonts w:asciiTheme="minorHAnsi" w:hAnsiTheme="minorHAnsi"/>
        </w:rPr>
        <w:t xml:space="preserve"> not make any </w:t>
      </w:r>
      <w:r w:rsidR="00667401" w:rsidRPr="00020A48">
        <w:rPr>
          <w:rFonts w:asciiTheme="minorHAnsi" w:hAnsiTheme="minorHAnsi"/>
        </w:rPr>
        <w:t>allowance for anticipated additional funding arising from the results of REF2014. The financial impact of REF2014 is expected to be published in the March 2015 HEFCE grant letter and will take effect from 2015/16 onwards</w:t>
      </w:r>
      <w:r w:rsidR="00B6109F" w:rsidRPr="00020A48">
        <w:rPr>
          <w:rFonts w:asciiTheme="minorHAnsi" w:hAnsiTheme="minorHAnsi"/>
        </w:rPr>
        <w:t>.  Therefore, QR funding remains at the 201</w:t>
      </w:r>
      <w:r w:rsidR="00F86C9A" w:rsidRPr="00020A48">
        <w:rPr>
          <w:rFonts w:asciiTheme="minorHAnsi" w:hAnsiTheme="minorHAnsi"/>
        </w:rPr>
        <w:t>3</w:t>
      </w:r>
      <w:r w:rsidR="00B6109F" w:rsidRPr="00020A48">
        <w:rPr>
          <w:rFonts w:asciiTheme="minorHAnsi" w:hAnsiTheme="minorHAnsi"/>
        </w:rPr>
        <w:t>/1</w:t>
      </w:r>
      <w:r w:rsidR="00F86C9A" w:rsidRPr="00020A48">
        <w:rPr>
          <w:rFonts w:asciiTheme="minorHAnsi" w:hAnsiTheme="minorHAnsi"/>
        </w:rPr>
        <w:t>4</w:t>
      </w:r>
      <w:r w:rsidR="00B6109F" w:rsidRPr="00020A48">
        <w:rPr>
          <w:rFonts w:asciiTheme="minorHAnsi" w:hAnsiTheme="minorHAnsi"/>
        </w:rPr>
        <w:t xml:space="preserve"> rates.</w:t>
      </w:r>
    </w:p>
    <w:p w:rsidR="00886B83" w:rsidRDefault="00886B83" w:rsidP="000420AD">
      <w:pPr>
        <w:spacing w:after="0"/>
        <w:rPr>
          <w:rFonts w:asciiTheme="minorHAnsi" w:hAnsiTheme="minorHAnsi"/>
        </w:rPr>
      </w:pPr>
    </w:p>
    <w:p w:rsidR="00886B83" w:rsidRDefault="007848CB" w:rsidP="000420AD">
      <w:pPr>
        <w:spacing w:after="0"/>
        <w:rPr>
          <w:rFonts w:asciiTheme="minorHAnsi" w:hAnsiTheme="minorHAnsi"/>
          <w:i/>
        </w:rPr>
      </w:pPr>
      <w:r>
        <w:rPr>
          <w:rFonts w:asciiTheme="minorHAnsi" w:hAnsiTheme="minorHAnsi"/>
          <w:i/>
        </w:rPr>
        <w:t>Research council funded studentships</w:t>
      </w:r>
    </w:p>
    <w:p w:rsidR="00F638E6" w:rsidRDefault="007848CB" w:rsidP="000420AD">
      <w:pPr>
        <w:spacing w:after="0"/>
        <w:rPr>
          <w:rFonts w:asciiTheme="minorHAnsi" w:hAnsiTheme="minorHAnsi"/>
        </w:rPr>
      </w:pPr>
      <w:r>
        <w:rPr>
          <w:rFonts w:asciiTheme="minorHAnsi" w:hAnsiTheme="minorHAnsi"/>
        </w:rPr>
        <w:t xml:space="preserve">Within the financial accounts this is shown as Research training support grant but this is actually regarding the treatment of the funding of fees, maintenance and other costs that is received from research councils. </w:t>
      </w:r>
    </w:p>
    <w:p w:rsidR="00F638E6" w:rsidRDefault="00F638E6" w:rsidP="000420AD">
      <w:pPr>
        <w:spacing w:after="0"/>
        <w:rPr>
          <w:rFonts w:asciiTheme="minorHAnsi" w:hAnsiTheme="minorHAnsi"/>
        </w:rPr>
      </w:pPr>
    </w:p>
    <w:p w:rsidR="00F638E6" w:rsidRDefault="00F638E6" w:rsidP="000420AD">
      <w:pPr>
        <w:spacing w:after="0"/>
        <w:rPr>
          <w:rFonts w:asciiTheme="minorHAnsi" w:hAnsiTheme="minorHAnsi"/>
        </w:rPr>
      </w:pPr>
      <w:r>
        <w:rPr>
          <w:rFonts w:asciiTheme="minorHAnsi" w:hAnsiTheme="minorHAnsi"/>
        </w:rPr>
        <w:t xml:space="preserve">The £ included within income and expenditure for this should be in line with the previous guidance </w:t>
      </w:r>
      <w:r w:rsidR="00766270">
        <w:rPr>
          <w:rFonts w:asciiTheme="minorHAnsi" w:hAnsiTheme="minorHAnsi"/>
        </w:rPr>
        <w:t xml:space="preserve"> and the use of the previous years actual £ may be used as an estimate of the income and spend.  Even though this does not impact the planned contribution it is suggested that something is included within the budget to ensure that variances are minimal if possible.</w:t>
      </w:r>
    </w:p>
    <w:p w:rsidR="00766270" w:rsidRPr="00D52E8A" w:rsidRDefault="00766270" w:rsidP="000420AD">
      <w:pPr>
        <w:spacing w:after="0"/>
        <w:rPr>
          <w:rFonts w:asciiTheme="minorHAnsi" w:hAnsiTheme="minorHAnsi"/>
        </w:rPr>
      </w:pPr>
    </w:p>
    <w:p w:rsidR="00226631" w:rsidRPr="000C1B87" w:rsidRDefault="00226631" w:rsidP="00226631">
      <w:pPr>
        <w:rPr>
          <w:i/>
        </w:rPr>
      </w:pPr>
      <w:r w:rsidRPr="000C1B87">
        <w:rPr>
          <w:i/>
        </w:rPr>
        <w:t>Bad debts</w:t>
      </w:r>
    </w:p>
    <w:p w:rsidR="00226631" w:rsidRPr="00226631" w:rsidRDefault="00226631" w:rsidP="00226631">
      <w:pPr>
        <w:rPr>
          <w:color w:val="7030A0"/>
        </w:rPr>
      </w:pPr>
      <w:r w:rsidRPr="00226631">
        <w:t xml:space="preserve">Colleges </w:t>
      </w:r>
      <w:r w:rsidRPr="00226631">
        <w:rPr>
          <w:color w:val="7030A0"/>
        </w:rPr>
        <w:t>should</w:t>
      </w:r>
      <w:r w:rsidRPr="00226631">
        <w:t xml:space="preserve"> allow for bad debt costs as a percentage of income based on an average bad debt cost percentages over the previous three years.  Colleges </w:t>
      </w:r>
      <w:r w:rsidRPr="00226631">
        <w:rPr>
          <w:color w:val="7030A0"/>
        </w:rPr>
        <w:t>may</w:t>
      </w:r>
      <w:r w:rsidRPr="00226631">
        <w:t xml:space="preserve"> diverge from this amount if they have good reason to do so, but </w:t>
      </w:r>
      <w:r w:rsidRPr="00226631">
        <w:rPr>
          <w:color w:val="7030A0"/>
        </w:rPr>
        <w:t>must</w:t>
      </w:r>
      <w:r w:rsidRPr="00226631">
        <w:t xml:space="preserve"> explain why they think the historic percentage no longer applies, and provide the basis for the new calculation.</w:t>
      </w:r>
    </w:p>
    <w:p w:rsidR="001E32AA" w:rsidRDefault="00226631" w:rsidP="00226631">
      <w:r w:rsidRPr="00226631">
        <w:t xml:space="preserve">Note that bad debt costs </w:t>
      </w:r>
      <w:r w:rsidRPr="00226631">
        <w:rPr>
          <w:color w:val="7030A0"/>
        </w:rPr>
        <w:t>must</w:t>
      </w:r>
      <w:r w:rsidRPr="00226631">
        <w:t xml:space="preserve"> only be budgeted based on debts arising in the year.  Bad debts arising from debtors at the start of the year will already be provided for.  There will, in practice, be adjustments to the opening provision, but these should not be significant and </w:t>
      </w:r>
      <w:r w:rsidRPr="00226631">
        <w:rPr>
          <w:color w:val="7030A0"/>
        </w:rPr>
        <w:t>must</w:t>
      </w:r>
      <w:r w:rsidRPr="00226631">
        <w:t xml:space="preserve"> not be allowed for in the budget.</w:t>
      </w:r>
    </w:p>
    <w:p w:rsidR="00EA07AD" w:rsidRDefault="00EA07AD" w:rsidP="00B72527">
      <w:pPr>
        <w:pStyle w:val="Heading2"/>
      </w:pPr>
      <w:bookmarkStart w:id="25" w:name="_Toc384902685"/>
      <w:r w:rsidRPr="00AE70E7">
        <w:t>Other income</w:t>
      </w:r>
      <w:bookmarkEnd w:id="25"/>
    </w:p>
    <w:p w:rsidR="00DE78CF" w:rsidRPr="00985D52" w:rsidRDefault="00DE78CF" w:rsidP="00E47A56">
      <w:pPr>
        <w:spacing w:after="0"/>
      </w:pPr>
      <w:r w:rsidRPr="00985D52">
        <w:t xml:space="preserve">The majority of the University’s </w:t>
      </w:r>
      <w:r w:rsidR="00A228CC" w:rsidRPr="00985D52">
        <w:t>o</w:t>
      </w:r>
      <w:r w:rsidRPr="00985D52">
        <w:t xml:space="preserve">ther </w:t>
      </w:r>
      <w:r w:rsidR="00A228CC" w:rsidRPr="00985D52">
        <w:t>i</w:t>
      </w:r>
      <w:r w:rsidRPr="00985D52">
        <w:t>ncome comes fro</w:t>
      </w:r>
      <w:r w:rsidR="00A228CC" w:rsidRPr="00985D52">
        <w:t>m the c</w:t>
      </w:r>
      <w:r w:rsidRPr="00985D52">
        <w:t>ommercial arm of Campus Services.  All other significant items are college/service specific, and are budgeted /</w:t>
      </w:r>
      <w:r w:rsidR="002A3EF9" w:rsidRPr="00985D52">
        <w:t xml:space="preserve"> </w:t>
      </w:r>
      <w:r w:rsidRPr="00985D52">
        <w:t xml:space="preserve">forecast using general accounting principles. </w:t>
      </w:r>
    </w:p>
    <w:p w:rsidR="00EA07AD" w:rsidRDefault="00DE78CF" w:rsidP="00020A48">
      <w:pPr>
        <w:spacing w:after="0"/>
      </w:pPr>
      <w:r w:rsidRPr="00985D52">
        <w:t xml:space="preserve">Smaller items of other income </w:t>
      </w:r>
      <w:r w:rsidR="008A2DE3" w:rsidRPr="008A2DE3">
        <w:rPr>
          <w:color w:val="7030A0"/>
        </w:rPr>
        <w:t>should</w:t>
      </w:r>
      <w:r w:rsidR="002A3EF9" w:rsidRPr="00985D52">
        <w:t xml:space="preserve"> be budgeted / forecast on the basis of best estimates, and </w:t>
      </w:r>
      <w:r w:rsidR="008A2DE3" w:rsidRPr="008A2DE3">
        <w:rPr>
          <w:color w:val="7030A0"/>
        </w:rPr>
        <w:t>may</w:t>
      </w:r>
      <w:r w:rsidR="002A3EF9" w:rsidRPr="00985D52">
        <w:t xml:space="preserve"> include aspirational elements.  Significant changes from previous years, and in particular new or declining streams</w:t>
      </w:r>
      <w:r w:rsidR="00985D52">
        <w:t>,</w:t>
      </w:r>
      <w:r w:rsidR="002A3EF9" w:rsidRPr="00985D52">
        <w:t xml:space="preserve"> </w:t>
      </w:r>
      <w:r w:rsidR="004C54B2">
        <w:rPr>
          <w:color w:val="7030A0"/>
        </w:rPr>
        <w:t>must</w:t>
      </w:r>
      <w:r w:rsidR="002A3EF9" w:rsidRPr="00985D52">
        <w:t xml:space="preserve"> be explained.</w:t>
      </w:r>
    </w:p>
    <w:p w:rsidR="00EA07AD" w:rsidRDefault="00EA07AD" w:rsidP="00B72527">
      <w:pPr>
        <w:pStyle w:val="Heading2"/>
      </w:pPr>
      <w:bookmarkStart w:id="26" w:name="_Toc384902686"/>
      <w:r w:rsidRPr="00AE70E7">
        <w:lastRenderedPageBreak/>
        <w:t>Endowment &amp; Investment Income</w:t>
      </w:r>
      <w:bookmarkEnd w:id="26"/>
    </w:p>
    <w:p w:rsidR="00EA07AD" w:rsidRDefault="00C9281C" w:rsidP="00EA07AD">
      <w:pPr>
        <w:spacing w:after="0"/>
      </w:pPr>
      <w:r w:rsidRPr="00E117B2">
        <w:t xml:space="preserve">Endowment income within colleges / services </w:t>
      </w:r>
      <w:r w:rsidR="008A2DE3" w:rsidRPr="008A2DE3">
        <w:rPr>
          <w:color w:val="7030A0"/>
        </w:rPr>
        <w:t>must</w:t>
      </w:r>
      <w:r w:rsidRPr="00E117B2">
        <w:t xml:space="preserve"> always be shown as an incoming transfer.  </w:t>
      </w:r>
      <w:r w:rsidR="00845AD1">
        <w:t xml:space="preserve">A new process for this is being drawn up and we </w:t>
      </w:r>
      <w:r w:rsidR="00F0609F" w:rsidRPr="00F0609F">
        <w:t>will</w:t>
      </w:r>
      <w:r w:rsidR="00845AD1">
        <w:t xml:space="preserve"> be informing budget centres what </w:t>
      </w:r>
      <w:r w:rsidR="00F0609F">
        <w:t xml:space="preserve">will be </w:t>
      </w:r>
      <w:r w:rsidR="00845AD1">
        <w:t xml:space="preserve">available for them to spend.  The contact for Endowment income is </w:t>
      </w:r>
      <w:r w:rsidRPr="00E117B2">
        <w:t>Tan</w:t>
      </w:r>
      <w:r w:rsidR="00E117B2" w:rsidRPr="00E117B2">
        <w:t>y</w:t>
      </w:r>
      <w:r w:rsidRPr="00E117B2">
        <w:t>a Hitchen in the Corporate Accounting Team.</w:t>
      </w:r>
      <w:r w:rsidR="00DA0898">
        <w:t xml:space="preserve">  </w:t>
      </w:r>
    </w:p>
    <w:p w:rsidR="00DA0898" w:rsidRPr="00020A48" w:rsidRDefault="00DA0898" w:rsidP="00EA07AD">
      <w:pPr>
        <w:spacing w:after="0"/>
      </w:pPr>
    </w:p>
    <w:p w:rsidR="00EA07AD" w:rsidRPr="00AE70E7" w:rsidRDefault="00EA07AD" w:rsidP="00B72527">
      <w:pPr>
        <w:pStyle w:val="Heading2"/>
      </w:pPr>
      <w:bookmarkStart w:id="27" w:name="_Toc384902687"/>
      <w:r w:rsidRPr="00AE70E7">
        <w:t>Internal Income</w:t>
      </w:r>
      <w:bookmarkEnd w:id="27"/>
    </w:p>
    <w:p w:rsidR="00EA07AD" w:rsidRDefault="004306F8" w:rsidP="00F86C9A">
      <w:pPr>
        <w:spacing w:after="0"/>
      </w:pPr>
      <w:r>
        <w:t>Internal income exists only</w:t>
      </w:r>
      <w:r w:rsidR="0030402E">
        <w:t xml:space="preserve"> in Professional Service and Campus Service</w:t>
      </w:r>
      <w:r>
        <w:t xml:space="preserve"> Commercial.</w:t>
      </w:r>
    </w:p>
    <w:p w:rsidR="004306F8" w:rsidRDefault="004306F8" w:rsidP="00F86C9A">
      <w:pPr>
        <w:spacing w:after="0"/>
      </w:pPr>
      <w:r>
        <w:t xml:space="preserve">Income </w:t>
      </w:r>
      <w:r w:rsidR="008A2DE3" w:rsidRPr="008A2DE3">
        <w:rPr>
          <w:color w:val="7030A0"/>
        </w:rPr>
        <w:t>should</w:t>
      </w:r>
      <w:r>
        <w:t xml:space="preserve"> be budgeted on a normal commercial basis, taking account of any factors that might affect income levels, for example:</w:t>
      </w:r>
    </w:p>
    <w:p w:rsidR="004306F8" w:rsidRPr="00020A48" w:rsidRDefault="004306F8" w:rsidP="004306F8">
      <w:pPr>
        <w:pStyle w:val="ListParagraph"/>
        <w:numPr>
          <w:ilvl w:val="0"/>
          <w:numId w:val="30"/>
        </w:numPr>
        <w:spacing w:after="0"/>
        <w:rPr>
          <w:rFonts w:asciiTheme="minorHAnsi" w:hAnsiTheme="minorHAnsi"/>
          <w:sz w:val="22"/>
          <w:szCs w:val="22"/>
        </w:rPr>
      </w:pPr>
      <w:r w:rsidRPr="00020A48">
        <w:rPr>
          <w:rFonts w:asciiTheme="minorHAnsi" w:hAnsiTheme="minorHAnsi"/>
          <w:sz w:val="22"/>
          <w:szCs w:val="22"/>
        </w:rPr>
        <w:t>Price</w:t>
      </w:r>
    </w:p>
    <w:p w:rsidR="004306F8" w:rsidRPr="00020A48" w:rsidRDefault="004306F8" w:rsidP="004306F8">
      <w:pPr>
        <w:pStyle w:val="ListParagraph"/>
        <w:numPr>
          <w:ilvl w:val="0"/>
          <w:numId w:val="30"/>
        </w:numPr>
        <w:spacing w:after="0"/>
        <w:rPr>
          <w:rFonts w:asciiTheme="minorHAnsi" w:hAnsiTheme="minorHAnsi"/>
          <w:sz w:val="22"/>
          <w:szCs w:val="22"/>
        </w:rPr>
      </w:pPr>
      <w:r w:rsidRPr="00020A48">
        <w:rPr>
          <w:rFonts w:asciiTheme="minorHAnsi" w:hAnsiTheme="minorHAnsi"/>
          <w:sz w:val="22"/>
          <w:szCs w:val="22"/>
        </w:rPr>
        <w:t>Major Refurbishment Plans</w:t>
      </w:r>
    </w:p>
    <w:p w:rsidR="004306F8" w:rsidRPr="00020A48" w:rsidRDefault="004306F8" w:rsidP="004306F8">
      <w:pPr>
        <w:pStyle w:val="ListParagraph"/>
        <w:numPr>
          <w:ilvl w:val="0"/>
          <w:numId w:val="30"/>
        </w:numPr>
        <w:spacing w:after="0"/>
        <w:rPr>
          <w:rFonts w:asciiTheme="minorHAnsi" w:hAnsiTheme="minorHAnsi"/>
          <w:sz w:val="22"/>
          <w:szCs w:val="22"/>
        </w:rPr>
      </w:pPr>
      <w:r w:rsidRPr="00020A48">
        <w:rPr>
          <w:rFonts w:asciiTheme="minorHAnsi" w:hAnsiTheme="minorHAnsi"/>
          <w:sz w:val="22"/>
          <w:szCs w:val="22"/>
        </w:rPr>
        <w:t>Major Events</w:t>
      </w:r>
    </w:p>
    <w:p w:rsidR="004306F8" w:rsidRPr="00020A48" w:rsidRDefault="004306F8" w:rsidP="004306F8">
      <w:pPr>
        <w:pStyle w:val="ListParagraph"/>
        <w:numPr>
          <w:ilvl w:val="0"/>
          <w:numId w:val="30"/>
        </w:numPr>
        <w:spacing w:after="0"/>
        <w:rPr>
          <w:rFonts w:asciiTheme="minorHAnsi" w:hAnsiTheme="minorHAnsi"/>
          <w:sz w:val="22"/>
          <w:szCs w:val="22"/>
        </w:rPr>
      </w:pPr>
      <w:r w:rsidRPr="00020A48">
        <w:rPr>
          <w:rFonts w:asciiTheme="minorHAnsi" w:hAnsiTheme="minorHAnsi"/>
          <w:sz w:val="22"/>
          <w:szCs w:val="22"/>
        </w:rPr>
        <w:t>Changes of Scale</w:t>
      </w:r>
    </w:p>
    <w:p w:rsidR="004306F8" w:rsidRPr="00020A48" w:rsidRDefault="004306F8" w:rsidP="004306F8">
      <w:pPr>
        <w:pStyle w:val="ListParagraph"/>
        <w:numPr>
          <w:ilvl w:val="1"/>
          <w:numId w:val="30"/>
        </w:numPr>
        <w:spacing w:after="0"/>
        <w:rPr>
          <w:rFonts w:asciiTheme="minorHAnsi" w:hAnsiTheme="minorHAnsi"/>
          <w:sz w:val="22"/>
          <w:szCs w:val="22"/>
        </w:rPr>
      </w:pPr>
      <w:r w:rsidRPr="00020A48">
        <w:rPr>
          <w:rFonts w:asciiTheme="minorHAnsi" w:hAnsiTheme="minorHAnsi"/>
          <w:sz w:val="22"/>
          <w:szCs w:val="22"/>
        </w:rPr>
        <w:t>More students/staff</w:t>
      </w:r>
    </w:p>
    <w:p w:rsidR="004306F8" w:rsidRPr="00020A48" w:rsidRDefault="004306F8" w:rsidP="004306F8">
      <w:pPr>
        <w:pStyle w:val="ListParagraph"/>
        <w:numPr>
          <w:ilvl w:val="1"/>
          <w:numId w:val="30"/>
        </w:numPr>
        <w:spacing w:after="0"/>
        <w:rPr>
          <w:rFonts w:asciiTheme="minorHAnsi" w:hAnsiTheme="minorHAnsi"/>
          <w:sz w:val="22"/>
          <w:szCs w:val="22"/>
        </w:rPr>
      </w:pPr>
      <w:r w:rsidRPr="00020A48">
        <w:rPr>
          <w:rFonts w:asciiTheme="minorHAnsi" w:hAnsiTheme="minorHAnsi"/>
          <w:sz w:val="22"/>
          <w:szCs w:val="22"/>
        </w:rPr>
        <w:t>Additional space</w:t>
      </w:r>
    </w:p>
    <w:p w:rsidR="004306F8" w:rsidRPr="00020A48" w:rsidRDefault="004306F8" w:rsidP="004306F8">
      <w:pPr>
        <w:pStyle w:val="ListParagraph"/>
        <w:numPr>
          <w:ilvl w:val="1"/>
          <w:numId w:val="30"/>
        </w:numPr>
        <w:spacing w:after="0"/>
        <w:rPr>
          <w:rFonts w:asciiTheme="minorHAnsi" w:hAnsiTheme="minorHAnsi"/>
          <w:sz w:val="22"/>
          <w:szCs w:val="22"/>
        </w:rPr>
      </w:pPr>
      <w:r w:rsidRPr="00020A48">
        <w:rPr>
          <w:rFonts w:asciiTheme="minorHAnsi" w:hAnsiTheme="minorHAnsi"/>
          <w:sz w:val="22"/>
          <w:szCs w:val="22"/>
        </w:rPr>
        <w:t>Residences Occupation</w:t>
      </w:r>
    </w:p>
    <w:p w:rsidR="004306F8" w:rsidRDefault="004306F8" w:rsidP="00121BCD">
      <w:r>
        <w:t xml:space="preserve">Discussions </w:t>
      </w:r>
      <w:r w:rsidR="008A2DE3" w:rsidRPr="008A2DE3">
        <w:rPr>
          <w:color w:val="7030A0"/>
        </w:rPr>
        <w:t>should</w:t>
      </w:r>
      <w:r>
        <w:t xml:space="preserve"> be held with major customers to ascertain consistency between purchaser and seller budgets.</w:t>
      </w:r>
    </w:p>
    <w:p w:rsidR="00B4475A" w:rsidRDefault="00B4475A" w:rsidP="004306F8">
      <w:pPr>
        <w:spacing w:after="0"/>
      </w:pPr>
      <w:r>
        <w:t xml:space="preserve">Any decisions by colleges or services to reduce or otherwise amend levels of internal services </w:t>
      </w:r>
      <w:r w:rsidRPr="00121BCD">
        <w:rPr>
          <w:b/>
          <w:color w:val="7030A0"/>
        </w:rPr>
        <w:t>must</w:t>
      </w:r>
      <w:r>
        <w:t xml:space="preserve"> be made in conjunction with the providing service.</w:t>
      </w:r>
    </w:p>
    <w:p w:rsidR="00E05AE3" w:rsidRDefault="00EA07AD" w:rsidP="00B72527">
      <w:pPr>
        <w:pStyle w:val="Heading2"/>
      </w:pPr>
      <w:bookmarkStart w:id="28" w:name="_Ref348086200"/>
      <w:bookmarkStart w:id="29" w:name="_Toc384902688"/>
      <w:r>
        <w:t xml:space="preserve">Internal </w:t>
      </w:r>
      <w:r w:rsidR="00C467E7" w:rsidRPr="002F7CC5">
        <w:t>Transfers</w:t>
      </w:r>
      <w:bookmarkEnd w:id="28"/>
      <w:bookmarkEnd w:id="29"/>
    </w:p>
    <w:p w:rsidR="00971B8F" w:rsidRDefault="00AC4576" w:rsidP="00971B8F">
      <w:r>
        <w:t xml:space="preserve">In line with the principles of the Armstrong review in ensuring that the budget for costs are in the correct place to ensure accountability and ownership, the transferring of internal resource should </w:t>
      </w:r>
      <w:r w:rsidR="007B42CC">
        <w:t>be removed unless there is a valid (such as audit requirements) for it to remain.</w:t>
      </w:r>
    </w:p>
    <w:p w:rsidR="006C30C1" w:rsidRPr="00971B8F" w:rsidRDefault="007B42CC" w:rsidP="00971B8F">
      <w:r>
        <w:t>Existing transfers will be reviewed by the Finance Group with a</w:t>
      </w:r>
      <w:r w:rsidR="006C30C1">
        <w:t>djustments to internal transfers be</w:t>
      </w:r>
      <w:r>
        <w:t>ing</w:t>
      </w:r>
      <w:r w:rsidR="006C30C1">
        <w:t xml:space="preserve"> captured and completed between the March and the June plan submissions.</w:t>
      </w:r>
    </w:p>
    <w:p w:rsidR="002B5DA9" w:rsidRPr="00997839" w:rsidRDefault="002B5DA9" w:rsidP="00B72527">
      <w:pPr>
        <w:pStyle w:val="Heading1"/>
      </w:pPr>
      <w:bookmarkStart w:id="30" w:name="_Ref348086204"/>
      <w:bookmarkStart w:id="31" w:name="_Toc384902689"/>
      <w:r w:rsidRPr="002F7CC5">
        <w:t>Expenditure</w:t>
      </w:r>
      <w:bookmarkEnd w:id="30"/>
      <w:bookmarkEnd w:id="31"/>
    </w:p>
    <w:p w:rsidR="00C467E7" w:rsidRPr="00AE70E7" w:rsidRDefault="00997839" w:rsidP="00B72527">
      <w:pPr>
        <w:pStyle w:val="Heading2"/>
      </w:pPr>
      <w:bookmarkStart w:id="32" w:name="_Ref348086210"/>
      <w:r w:rsidRPr="00AE70E7">
        <w:t xml:space="preserve"> </w:t>
      </w:r>
      <w:bookmarkStart w:id="33" w:name="_Toc384902690"/>
      <w:r w:rsidR="00C467E7" w:rsidRPr="00AE70E7">
        <w:t>Staff costs</w:t>
      </w:r>
      <w:bookmarkEnd w:id="32"/>
      <w:bookmarkEnd w:id="33"/>
    </w:p>
    <w:p w:rsidR="009B2F01" w:rsidRDefault="009B2F01" w:rsidP="00B72527">
      <w:r>
        <w:t>The prime mechanism for capturing staff costs information, including FTE, is through a post by post schedule in the Cognos staffing module.</w:t>
      </w:r>
    </w:p>
    <w:p w:rsidR="00B72527" w:rsidRDefault="00B72527" w:rsidP="00B72527">
      <w:r>
        <w:t xml:space="preserve">Inflation rates for salary costs </w:t>
      </w:r>
      <w:r w:rsidRPr="00117BAB">
        <w:t xml:space="preserve">are defined within the planning parameters shown in section </w:t>
      </w:r>
      <w:r w:rsidR="00685F16">
        <w:fldChar w:fldCharType="begin"/>
      </w:r>
      <w:r w:rsidR="00685F16">
        <w:instrText xml:space="preserve"> REF _Ref369687371 \r \h  \* MERGEFORMAT </w:instrText>
      </w:r>
      <w:r w:rsidR="00685F16">
        <w:fldChar w:fldCharType="separate"/>
      </w:r>
      <w:r w:rsidR="003E4ADA">
        <w:t>4</w:t>
      </w:r>
      <w:r w:rsidR="00685F16">
        <w:fldChar w:fldCharType="end"/>
      </w:r>
    </w:p>
    <w:p w:rsidR="00B72527" w:rsidRDefault="00B72527" w:rsidP="00B72527">
      <w:r w:rsidRPr="00117BAB">
        <w:t xml:space="preserve">Pension rates used within the plans are </w:t>
      </w:r>
      <w:r>
        <w:t xml:space="preserve">also </w:t>
      </w:r>
      <w:r w:rsidRPr="00117BAB">
        <w:t>defined within the planning parameters</w:t>
      </w:r>
      <w:r>
        <w:t>, and are automatically calculated by Cognos.</w:t>
      </w:r>
    </w:p>
    <w:p w:rsidR="00B621A9" w:rsidRDefault="00B621A9" w:rsidP="00B72527">
      <w:pPr>
        <w:pStyle w:val="Heading2"/>
      </w:pPr>
      <w:bookmarkStart w:id="34" w:name="_Toc384902691"/>
      <w:r w:rsidRPr="004306F8">
        <w:t>Staff Provisions:</w:t>
      </w:r>
      <w:bookmarkEnd w:id="34"/>
    </w:p>
    <w:p w:rsidR="00B72527" w:rsidRDefault="00E117B2" w:rsidP="00B72527">
      <w:r w:rsidRPr="00E117B2">
        <w:t xml:space="preserve"> </w:t>
      </w:r>
      <w:r w:rsidR="00B72527" w:rsidRPr="00E117B2">
        <w:t>Current guidance is given here</w:t>
      </w:r>
      <w:r w:rsidR="00B72527">
        <w:t>, but note that t</w:t>
      </w:r>
      <w:r w:rsidR="00B72527" w:rsidRPr="00E117B2">
        <w:t>hese are under review with HR.</w:t>
      </w:r>
    </w:p>
    <w:p w:rsidR="00B72527" w:rsidRPr="004306F8" w:rsidRDefault="00B72527" w:rsidP="00B72527">
      <w:pPr>
        <w:pStyle w:val="Heading2"/>
        <w:numPr>
          <w:ilvl w:val="1"/>
          <w:numId w:val="29"/>
        </w:numPr>
      </w:pPr>
      <w:bookmarkStart w:id="35" w:name="_Toc384902692"/>
      <w:r w:rsidRPr="004306F8">
        <w:lastRenderedPageBreak/>
        <w:t>Vacan</w:t>
      </w:r>
      <w:r w:rsidR="008D1D15">
        <w:t>t post</w:t>
      </w:r>
      <w:r w:rsidRPr="004306F8">
        <w:t xml:space="preserve"> provision</w:t>
      </w:r>
      <w:bookmarkEnd w:id="35"/>
    </w:p>
    <w:p w:rsidR="00B72527" w:rsidRPr="004306F8" w:rsidRDefault="00B72527" w:rsidP="00B72527">
      <w:pPr>
        <w:spacing w:after="120" w:line="240" w:lineRule="auto"/>
      </w:pPr>
      <w:r w:rsidRPr="00497524">
        <w:t>Provisions</w:t>
      </w:r>
      <w:r w:rsidRPr="004306F8">
        <w:rPr>
          <w:i/>
        </w:rPr>
        <w:t xml:space="preserve"> </w:t>
      </w:r>
      <w:r w:rsidRPr="004306F8">
        <w:t xml:space="preserve">for vacant positions </w:t>
      </w:r>
      <w:r w:rsidR="009B1EB2">
        <w:rPr>
          <w:color w:val="7030A0"/>
        </w:rPr>
        <w:t>must</w:t>
      </w:r>
      <w:r w:rsidRPr="004306F8">
        <w:t xml:space="preserve"> be included within the individual staff detail</w:t>
      </w:r>
      <w:r>
        <w:t xml:space="preserve"> lines</w:t>
      </w:r>
      <w:r w:rsidRPr="004306F8">
        <w:t xml:space="preserve"> in Cognos</w:t>
      </w:r>
      <w:r>
        <w:t xml:space="preserve">.  </w:t>
      </w:r>
    </w:p>
    <w:p w:rsidR="00B72527" w:rsidRPr="005731FC" w:rsidRDefault="00B72527" w:rsidP="00B72527">
      <w:pPr>
        <w:pStyle w:val="Heading2"/>
        <w:numPr>
          <w:ilvl w:val="1"/>
          <w:numId w:val="29"/>
        </w:numPr>
      </w:pPr>
      <w:bookmarkStart w:id="36" w:name="_Toc384902693"/>
      <w:r w:rsidRPr="005731FC">
        <w:t>Bon</w:t>
      </w:r>
      <w:r w:rsidR="008D1D15">
        <w:t>us provision</w:t>
      </w:r>
      <w:bookmarkEnd w:id="36"/>
    </w:p>
    <w:p w:rsidR="00B72527" w:rsidRPr="005731FC" w:rsidRDefault="00B72527" w:rsidP="00B72527">
      <w:r w:rsidRPr="005731FC">
        <w:t xml:space="preserve">No provision is included regarding the University bonus scheme; this is paid based on exceeding budgeted targets and therefore it is self-financing and </w:t>
      </w:r>
      <w:r w:rsidR="009B1EB2">
        <w:rPr>
          <w:color w:val="7030A0"/>
        </w:rPr>
        <w:t>must</w:t>
      </w:r>
      <w:r w:rsidRPr="005731FC">
        <w:t xml:space="preserve"> not be included in the budget.  </w:t>
      </w:r>
    </w:p>
    <w:p w:rsidR="00B72527" w:rsidRPr="005731FC" w:rsidRDefault="008D1D15" w:rsidP="00B72527">
      <w:pPr>
        <w:pStyle w:val="Heading2"/>
        <w:numPr>
          <w:ilvl w:val="1"/>
          <w:numId w:val="29"/>
        </w:numPr>
      </w:pPr>
      <w:bookmarkStart w:id="37" w:name="_Toc384902694"/>
      <w:r>
        <w:t>Merit pay provision</w:t>
      </w:r>
      <w:bookmarkEnd w:id="37"/>
    </w:p>
    <w:p w:rsidR="00B72527" w:rsidRPr="005731FC" w:rsidRDefault="00B72527" w:rsidP="00B72527">
      <w:r w:rsidRPr="005731FC">
        <w:t xml:space="preserve">Merit pay </w:t>
      </w:r>
      <w:r w:rsidR="009B1EB2">
        <w:rPr>
          <w:color w:val="7030A0"/>
        </w:rPr>
        <w:t>must</w:t>
      </w:r>
      <w:r w:rsidRPr="005731FC">
        <w:t xml:space="preserve"> be budgeted for at 1.138% of total staff costs. </w:t>
      </w:r>
      <w:r>
        <w:t>Cognos calculates this automatically for inclusion in the budget at college/service level to avoid the creation of artificial variances.</w:t>
      </w:r>
    </w:p>
    <w:p w:rsidR="00B72527" w:rsidRPr="00E117B2" w:rsidRDefault="00B72527" w:rsidP="00B72527">
      <w:pPr>
        <w:pStyle w:val="Heading2"/>
        <w:numPr>
          <w:ilvl w:val="1"/>
          <w:numId w:val="29"/>
        </w:numPr>
      </w:pPr>
      <w:bookmarkStart w:id="38" w:name="_Toc384902695"/>
      <w:r w:rsidRPr="00E117B2">
        <w:t>Professorial/non-spinal pay provision</w:t>
      </w:r>
      <w:bookmarkEnd w:id="38"/>
    </w:p>
    <w:p w:rsidR="00B72527" w:rsidRDefault="00B72527" w:rsidP="00B72527">
      <w:r w:rsidRPr="00E117B2">
        <w:t xml:space="preserve">The guidance for the Remuneration Committee, the body that decides professorial and non-spinal salaries, states that “In proposing salary increases, Deans will be mindful of their College’s budget and what they </w:t>
      </w:r>
      <w:r w:rsidR="008A2DE3" w:rsidRPr="009B1EB2">
        <w:t>can</w:t>
      </w:r>
      <w:r w:rsidRPr="00E117B2">
        <w:t xml:space="preserve"> afford.”</w:t>
      </w:r>
    </w:p>
    <w:p w:rsidR="00B72527" w:rsidRPr="00E117B2" w:rsidRDefault="00B72527" w:rsidP="00B72527">
      <w:r w:rsidRPr="00E117B2">
        <w:t>The historical reality however is that increases have exceeded college budgets, although the current arrangements are being reviewed as part of the new Reward Strategy.</w:t>
      </w:r>
    </w:p>
    <w:p w:rsidR="00B72527" w:rsidRDefault="00B72527" w:rsidP="00B72527">
      <w:r w:rsidRPr="00E117B2">
        <w:t xml:space="preserve">Professorial and non-spinal salary increase </w:t>
      </w:r>
      <w:r w:rsidR="008A2DE3" w:rsidRPr="008A2DE3">
        <w:rPr>
          <w:color w:val="7030A0"/>
        </w:rPr>
        <w:t>should</w:t>
      </w:r>
      <w:r w:rsidRPr="00E117B2">
        <w:t xml:space="preserve"> be budgeted at the same inflation rate as normal salary increases.</w:t>
      </w:r>
      <w:r w:rsidR="00891094">
        <w:t xml:space="preserve"> Colleges </w:t>
      </w:r>
      <w:r w:rsidR="008A2DE3" w:rsidRPr="008A2DE3">
        <w:rPr>
          <w:color w:val="7030A0"/>
        </w:rPr>
        <w:t>may</w:t>
      </w:r>
      <w:r w:rsidR="00891094">
        <w:t xml:space="preserve"> make an additional provision if they cons</w:t>
      </w:r>
      <w:r w:rsidR="0055097C">
        <w:t xml:space="preserve">ider it necessary to do so, but </w:t>
      </w:r>
      <w:r w:rsidR="008A2DE3" w:rsidRPr="008A2DE3">
        <w:rPr>
          <w:color w:val="7030A0"/>
        </w:rPr>
        <w:t>must</w:t>
      </w:r>
      <w:r w:rsidR="0055097C">
        <w:t xml:space="preserve"> provide a justification.</w:t>
      </w:r>
    </w:p>
    <w:p w:rsidR="00B72527" w:rsidRPr="00117BAB" w:rsidRDefault="00B72527" w:rsidP="00B72527">
      <w:pPr>
        <w:pStyle w:val="Heading2"/>
        <w:numPr>
          <w:ilvl w:val="1"/>
          <w:numId w:val="29"/>
        </w:numPr>
      </w:pPr>
      <w:bookmarkStart w:id="39" w:name="_Toc384902696"/>
      <w:r w:rsidRPr="00117BAB">
        <w:t>Salary re-grades/promotions provisions</w:t>
      </w:r>
      <w:bookmarkEnd w:id="39"/>
    </w:p>
    <w:p w:rsidR="00137D73" w:rsidRDefault="00137D73" w:rsidP="002F5B4C">
      <w:r w:rsidRPr="00137D73">
        <w:t xml:space="preserve">Provision </w:t>
      </w:r>
      <w:r w:rsidRPr="002F5B4C">
        <w:rPr>
          <w:color w:val="7030A0"/>
        </w:rPr>
        <w:t xml:space="preserve">should </w:t>
      </w:r>
      <w:r w:rsidRPr="00137D73">
        <w:t xml:space="preserve">be made for academic promotions resulting from the PDP HR process.  </w:t>
      </w:r>
    </w:p>
    <w:p w:rsidR="00B72527" w:rsidRDefault="00FE6014" w:rsidP="002F5B4C">
      <w:r>
        <w:t>For other areas, s</w:t>
      </w:r>
      <w:r w:rsidR="00B72527" w:rsidRPr="00117BAB">
        <w:t xml:space="preserve">alary re-grades and promotions are indications that business has / will develop / become more efficient.  </w:t>
      </w:r>
      <w:r w:rsidR="00B72527">
        <w:t>For administrative / support posts, c</w:t>
      </w:r>
      <w:r w:rsidR="00B72527" w:rsidRPr="00117BAB">
        <w:t xml:space="preserve">olleges and services </w:t>
      </w:r>
      <w:r w:rsidR="008A2DE3" w:rsidRPr="002F5B4C">
        <w:t>should</w:t>
      </w:r>
      <w:r w:rsidR="00B72527" w:rsidRPr="00117BAB">
        <w:t xml:space="preserve"> not budget for these – </w:t>
      </w:r>
      <w:r w:rsidR="00B60049">
        <w:t xml:space="preserve">instead </w:t>
      </w:r>
      <w:r w:rsidR="00B72527" w:rsidRPr="00117BAB">
        <w:t>manag</w:t>
      </w:r>
      <w:r w:rsidR="00B60049">
        <w:t>ing</w:t>
      </w:r>
      <w:r w:rsidR="00B72527" w:rsidRPr="00117BAB">
        <w:t xml:space="preserve"> within the existing budget envelope, utilising the savings released by efficiencies / additional business.</w:t>
      </w:r>
      <w:r w:rsidR="00D74028">
        <w:t xml:space="preserve">  If this is not possible, colleges </w:t>
      </w:r>
      <w:r w:rsidR="00D74028" w:rsidRPr="00D52E8A">
        <w:rPr>
          <w:color w:val="7030A0"/>
        </w:rPr>
        <w:t>may</w:t>
      </w:r>
      <w:r w:rsidR="00D74028">
        <w:t xml:space="preserve"> provide for them, but </w:t>
      </w:r>
      <w:r w:rsidR="00D74028" w:rsidRPr="00D52E8A">
        <w:rPr>
          <w:color w:val="7030A0"/>
        </w:rPr>
        <w:t>must</w:t>
      </w:r>
      <w:r w:rsidR="00D74028">
        <w:t xml:space="preserve"> detail the external pressures requiring this.</w:t>
      </w:r>
    </w:p>
    <w:p w:rsidR="002F32BD" w:rsidRDefault="002F32BD" w:rsidP="00B72527">
      <w:pPr>
        <w:spacing w:after="0"/>
      </w:pPr>
      <w:r>
        <w:t>Particular care must be taken in the lead-up to the REF (</w:t>
      </w:r>
      <w:hyperlink r:id="rId11" w:history="1">
        <w:r w:rsidRPr="000F38FE">
          <w:rPr>
            <w:rStyle w:val="Hyperlink"/>
          </w:rPr>
          <w:t>www.ref.ac.uk</w:t>
        </w:r>
      </w:hyperlink>
      <w:r>
        <w:t>) that the provision for recruitment and retention of staff is sufficient.</w:t>
      </w:r>
      <w:r w:rsidR="002F5B4C">
        <w:t xml:space="preserve">  In addition, </w:t>
      </w:r>
      <w:r w:rsidR="0025750D" w:rsidRPr="0025750D">
        <w:t xml:space="preserve">where an approved </w:t>
      </w:r>
      <w:r w:rsidR="004555DB">
        <w:t xml:space="preserve">long term incentives / retention </w:t>
      </w:r>
      <w:r w:rsidR="0025750D" w:rsidRPr="0025750D">
        <w:t xml:space="preserve">scheme exists, the costs of </w:t>
      </w:r>
      <w:r w:rsidR="002F5B4C">
        <w:t>the scheme (usually in advance of and related to the REF)</w:t>
      </w:r>
      <w:r w:rsidR="00740679">
        <w:t xml:space="preserve"> must be budgeted for an</w:t>
      </w:r>
      <w:r w:rsidR="0025750D">
        <w:t>d</w:t>
      </w:r>
      <w:r w:rsidR="00740679">
        <w:t xml:space="preserve"> provided for each year.</w:t>
      </w:r>
    </w:p>
    <w:p w:rsidR="002F32BD" w:rsidRDefault="002F32BD" w:rsidP="00B72527">
      <w:pPr>
        <w:spacing w:after="0"/>
      </w:pPr>
    </w:p>
    <w:p w:rsidR="00B72527" w:rsidRDefault="00891094" w:rsidP="00B72527">
      <w:pPr>
        <w:spacing w:after="0"/>
      </w:pPr>
      <w:r>
        <w:t xml:space="preserve">Provisions </w:t>
      </w:r>
      <w:r w:rsidR="008A2DE3" w:rsidRPr="008A2DE3">
        <w:rPr>
          <w:color w:val="7030A0"/>
        </w:rPr>
        <w:t>should</w:t>
      </w:r>
      <w:r>
        <w:t xml:space="preserve"> be based as far as possible on known data and historic trends.</w:t>
      </w:r>
    </w:p>
    <w:p w:rsidR="00B72527" w:rsidRDefault="00B72527" w:rsidP="00B72527"/>
    <w:p w:rsidR="00B72527" w:rsidRDefault="00B72527" w:rsidP="00B72527">
      <w:pPr>
        <w:pStyle w:val="Heading2"/>
        <w:numPr>
          <w:ilvl w:val="1"/>
          <w:numId w:val="29"/>
        </w:numPr>
      </w:pPr>
      <w:bookmarkStart w:id="40" w:name="_Toc384902697"/>
      <w:r>
        <w:t>“Absence” Provis</w:t>
      </w:r>
      <w:r w:rsidR="00B94CF0">
        <w:t>i</w:t>
      </w:r>
      <w:r>
        <w:t>ons</w:t>
      </w:r>
      <w:bookmarkEnd w:id="40"/>
    </w:p>
    <w:p w:rsidR="00B72527" w:rsidRDefault="00B72527" w:rsidP="00B72527">
      <w:r>
        <w:t>The setting of “absence” provisions (Vacancy savings, Maternity, Long Term Sick, and Temporary Staff) is complicated for a number of reasons:</w:t>
      </w:r>
    </w:p>
    <w:p w:rsidR="00B72527" w:rsidRPr="00641C51" w:rsidRDefault="00B72527" w:rsidP="00B72527">
      <w:pPr>
        <w:pStyle w:val="ListParagraph"/>
        <w:numPr>
          <w:ilvl w:val="0"/>
          <w:numId w:val="42"/>
        </w:numPr>
        <w:spacing w:before="0" w:beforeAutospacing="0" w:after="200" w:afterAutospacing="0" w:line="276" w:lineRule="auto"/>
        <w:contextualSpacing/>
        <w:rPr>
          <w:rFonts w:asciiTheme="minorHAnsi" w:hAnsiTheme="minorHAnsi"/>
          <w:sz w:val="22"/>
          <w:szCs w:val="22"/>
        </w:rPr>
      </w:pPr>
      <w:r w:rsidRPr="00641C51">
        <w:rPr>
          <w:rFonts w:asciiTheme="minorHAnsi" w:hAnsiTheme="minorHAnsi"/>
          <w:sz w:val="22"/>
          <w:szCs w:val="22"/>
        </w:rPr>
        <w:t>They all interact with each other</w:t>
      </w:r>
    </w:p>
    <w:p w:rsidR="0055097C" w:rsidRDefault="00B72527" w:rsidP="00B72527">
      <w:pPr>
        <w:pStyle w:val="ListParagraph"/>
        <w:numPr>
          <w:ilvl w:val="0"/>
          <w:numId w:val="42"/>
        </w:numPr>
        <w:spacing w:before="0" w:beforeAutospacing="0" w:after="200" w:afterAutospacing="0" w:line="276" w:lineRule="auto"/>
        <w:contextualSpacing/>
        <w:rPr>
          <w:rFonts w:asciiTheme="minorHAnsi" w:hAnsiTheme="minorHAnsi"/>
          <w:sz w:val="22"/>
          <w:szCs w:val="22"/>
        </w:rPr>
      </w:pPr>
      <w:r w:rsidRPr="0055097C">
        <w:rPr>
          <w:rFonts w:asciiTheme="minorHAnsi" w:hAnsiTheme="minorHAnsi"/>
          <w:sz w:val="22"/>
          <w:szCs w:val="22"/>
        </w:rPr>
        <w:t xml:space="preserve">The way absences are managed </w:t>
      </w:r>
      <w:r w:rsidR="008A2DE3" w:rsidRPr="00B60049">
        <w:rPr>
          <w:rFonts w:asciiTheme="minorHAnsi" w:hAnsiTheme="minorHAnsi"/>
          <w:sz w:val="22"/>
          <w:szCs w:val="22"/>
        </w:rPr>
        <w:t>can</w:t>
      </w:r>
      <w:r w:rsidRPr="0055097C">
        <w:rPr>
          <w:rFonts w:asciiTheme="minorHAnsi" w:hAnsiTheme="minorHAnsi"/>
          <w:sz w:val="22"/>
          <w:szCs w:val="22"/>
        </w:rPr>
        <w:t xml:space="preserve"> </w:t>
      </w:r>
      <w:r w:rsidR="0055097C" w:rsidRPr="0055097C">
        <w:rPr>
          <w:rFonts w:asciiTheme="minorHAnsi" w:hAnsiTheme="minorHAnsi"/>
          <w:sz w:val="22"/>
          <w:szCs w:val="22"/>
        </w:rPr>
        <w:t xml:space="preserve">vary according to the </w:t>
      </w:r>
      <w:r w:rsidRPr="0055097C">
        <w:rPr>
          <w:rFonts w:asciiTheme="minorHAnsi" w:hAnsiTheme="minorHAnsi"/>
          <w:sz w:val="22"/>
          <w:szCs w:val="22"/>
        </w:rPr>
        <w:t>type of staff</w:t>
      </w:r>
    </w:p>
    <w:p w:rsidR="00B72527" w:rsidRPr="0055097C" w:rsidRDefault="0055097C" w:rsidP="00B72527">
      <w:pPr>
        <w:pStyle w:val="ListParagraph"/>
        <w:numPr>
          <w:ilvl w:val="0"/>
          <w:numId w:val="42"/>
        </w:numPr>
        <w:spacing w:before="0" w:beforeAutospacing="0" w:after="200" w:afterAutospacing="0" w:line="276" w:lineRule="auto"/>
        <w:contextualSpacing/>
        <w:rPr>
          <w:rFonts w:asciiTheme="minorHAnsi" w:hAnsiTheme="minorHAnsi"/>
          <w:sz w:val="22"/>
          <w:szCs w:val="22"/>
        </w:rPr>
      </w:pPr>
      <w:r>
        <w:rPr>
          <w:rFonts w:asciiTheme="minorHAnsi" w:hAnsiTheme="minorHAnsi"/>
          <w:sz w:val="22"/>
          <w:szCs w:val="22"/>
        </w:rPr>
        <w:lastRenderedPageBreak/>
        <w:t>W</w:t>
      </w:r>
      <w:r w:rsidRPr="0055097C">
        <w:rPr>
          <w:rFonts w:asciiTheme="minorHAnsi" w:hAnsiTheme="minorHAnsi"/>
          <w:sz w:val="22"/>
          <w:szCs w:val="22"/>
        </w:rPr>
        <w:t xml:space="preserve">e currently have limited historical information available on which to base provisions </w:t>
      </w:r>
      <w:r>
        <w:rPr>
          <w:rFonts w:asciiTheme="minorHAnsi" w:hAnsiTheme="minorHAnsi"/>
          <w:sz w:val="22"/>
          <w:szCs w:val="22"/>
        </w:rPr>
        <w:t>(</w:t>
      </w:r>
      <w:r w:rsidRPr="0055097C">
        <w:rPr>
          <w:rFonts w:asciiTheme="minorHAnsi" w:hAnsiTheme="minorHAnsi"/>
          <w:sz w:val="22"/>
          <w:szCs w:val="22"/>
        </w:rPr>
        <w:t>accurately captur</w:t>
      </w:r>
      <w:r>
        <w:rPr>
          <w:rFonts w:asciiTheme="minorHAnsi" w:hAnsiTheme="minorHAnsi"/>
          <w:sz w:val="22"/>
          <w:szCs w:val="22"/>
        </w:rPr>
        <w:t>ing</w:t>
      </w:r>
      <w:r w:rsidRPr="0055097C">
        <w:rPr>
          <w:rFonts w:asciiTheme="minorHAnsi" w:hAnsiTheme="minorHAnsi"/>
          <w:sz w:val="22"/>
          <w:szCs w:val="22"/>
        </w:rPr>
        <w:t xml:space="preserve"> the true </w:t>
      </w:r>
      <w:r>
        <w:rPr>
          <w:rFonts w:asciiTheme="minorHAnsi" w:hAnsiTheme="minorHAnsi"/>
          <w:sz w:val="22"/>
          <w:szCs w:val="22"/>
        </w:rPr>
        <w:t>cost</w:t>
      </w:r>
      <w:r w:rsidRPr="0055097C">
        <w:rPr>
          <w:rFonts w:asciiTheme="minorHAnsi" w:hAnsiTheme="minorHAnsi"/>
          <w:sz w:val="22"/>
          <w:szCs w:val="22"/>
        </w:rPr>
        <w:t xml:space="preserve"> of an absence </w:t>
      </w:r>
      <w:r w:rsidR="00B72527" w:rsidRPr="0055097C">
        <w:rPr>
          <w:rFonts w:asciiTheme="minorHAnsi" w:hAnsiTheme="minorHAnsi"/>
          <w:sz w:val="22"/>
          <w:szCs w:val="22"/>
        </w:rPr>
        <w:t xml:space="preserve">is a difficult and time-consuming task </w:t>
      </w:r>
      <w:r>
        <w:rPr>
          <w:rFonts w:asciiTheme="minorHAnsi" w:hAnsiTheme="minorHAnsi"/>
          <w:sz w:val="22"/>
          <w:szCs w:val="22"/>
        </w:rPr>
        <w:t xml:space="preserve">- </w:t>
      </w:r>
      <w:r w:rsidR="00B72527" w:rsidRPr="0055097C">
        <w:rPr>
          <w:rFonts w:asciiTheme="minorHAnsi" w:hAnsiTheme="minorHAnsi"/>
          <w:sz w:val="22"/>
          <w:szCs w:val="22"/>
        </w:rPr>
        <w:t xml:space="preserve">especially for vacancy savings) </w:t>
      </w:r>
    </w:p>
    <w:p w:rsidR="00B72527" w:rsidRPr="00641C51" w:rsidRDefault="00B72527" w:rsidP="00B72527">
      <w:pPr>
        <w:rPr>
          <w:rFonts w:asciiTheme="minorHAnsi" w:hAnsiTheme="minorHAnsi"/>
        </w:rPr>
      </w:pPr>
      <w:r w:rsidRPr="00641C51">
        <w:rPr>
          <w:rFonts w:asciiTheme="minorHAnsi" w:hAnsiTheme="minorHAnsi"/>
        </w:rPr>
        <w:t>As with any other variation from plan, it is good practice to attempt to manage absence within the budget envelope</w:t>
      </w:r>
      <w:r w:rsidR="00B94CF0" w:rsidRPr="00641C51">
        <w:rPr>
          <w:rFonts w:asciiTheme="minorHAnsi" w:hAnsiTheme="minorHAnsi"/>
        </w:rPr>
        <w:t>.  S</w:t>
      </w:r>
      <w:r w:rsidRPr="00641C51">
        <w:rPr>
          <w:rFonts w:asciiTheme="minorHAnsi" w:hAnsiTheme="minorHAnsi"/>
        </w:rPr>
        <w:t>ometimes</w:t>
      </w:r>
      <w:r w:rsidR="00B94CF0" w:rsidRPr="00641C51">
        <w:rPr>
          <w:rFonts w:asciiTheme="minorHAnsi" w:hAnsiTheme="minorHAnsi"/>
        </w:rPr>
        <w:t>, however</w:t>
      </w:r>
      <w:r w:rsidR="003F1C10" w:rsidRPr="00641C51">
        <w:rPr>
          <w:rFonts w:asciiTheme="minorHAnsi" w:hAnsiTheme="minorHAnsi"/>
        </w:rPr>
        <w:t>,</w:t>
      </w:r>
      <w:r w:rsidRPr="00641C51">
        <w:rPr>
          <w:rFonts w:asciiTheme="minorHAnsi" w:hAnsiTheme="minorHAnsi"/>
        </w:rPr>
        <w:t xml:space="preserve"> it is necessary to incur additional cost</w:t>
      </w:r>
      <w:r w:rsidR="00891094" w:rsidRPr="00641C51">
        <w:rPr>
          <w:rFonts w:asciiTheme="minorHAnsi" w:hAnsiTheme="minorHAnsi"/>
        </w:rPr>
        <w:t>.</w:t>
      </w:r>
    </w:p>
    <w:p w:rsidR="00891094" w:rsidRPr="00641C51" w:rsidRDefault="00B72527" w:rsidP="00891094">
      <w:pPr>
        <w:rPr>
          <w:rFonts w:asciiTheme="minorHAnsi" w:hAnsiTheme="minorHAnsi"/>
        </w:rPr>
      </w:pPr>
      <w:r w:rsidRPr="00641C51">
        <w:rPr>
          <w:rFonts w:asciiTheme="minorHAnsi" w:hAnsiTheme="minorHAnsi"/>
        </w:rPr>
        <w:t xml:space="preserve">It is, however, recognised that in </w:t>
      </w:r>
      <w:r w:rsidR="00891094" w:rsidRPr="00641C51">
        <w:rPr>
          <w:rFonts w:asciiTheme="minorHAnsi" w:hAnsiTheme="minorHAnsi"/>
        </w:rPr>
        <w:t>other</w:t>
      </w:r>
      <w:r w:rsidRPr="00641C51">
        <w:rPr>
          <w:rFonts w:asciiTheme="minorHAnsi" w:hAnsiTheme="minorHAnsi"/>
        </w:rPr>
        <w:t xml:space="preserve"> areas (</w:t>
      </w:r>
      <w:r w:rsidR="003F1C10" w:rsidRPr="00641C51">
        <w:rPr>
          <w:rFonts w:asciiTheme="minorHAnsi" w:hAnsiTheme="minorHAnsi"/>
        </w:rPr>
        <w:t xml:space="preserve">e.g. </w:t>
      </w:r>
      <w:r w:rsidRPr="00641C51">
        <w:rPr>
          <w:rFonts w:asciiTheme="minorHAnsi" w:hAnsiTheme="minorHAnsi"/>
        </w:rPr>
        <w:t xml:space="preserve">front line services, teaching) cover </w:t>
      </w:r>
      <w:r w:rsidR="008A2DE3" w:rsidRPr="00B60049">
        <w:rPr>
          <w:rFonts w:asciiTheme="minorHAnsi" w:hAnsiTheme="minorHAnsi"/>
        </w:rPr>
        <w:t>may</w:t>
      </w:r>
      <w:r w:rsidR="00891094" w:rsidRPr="00641C51">
        <w:rPr>
          <w:rFonts w:asciiTheme="minorHAnsi" w:hAnsiTheme="minorHAnsi"/>
        </w:rPr>
        <w:t xml:space="preserve"> need to </w:t>
      </w:r>
      <w:r w:rsidRPr="00641C51">
        <w:rPr>
          <w:rFonts w:asciiTheme="minorHAnsi" w:hAnsiTheme="minorHAnsi"/>
        </w:rPr>
        <w:t>be like for like</w:t>
      </w:r>
      <w:r w:rsidR="00FC28CC">
        <w:rPr>
          <w:rFonts w:asciiTheme="minorHAnsi" w:hAnsiTheme="minorHAnsi"/>
        </w:rPr>
        <w:t>, or even require an overlap</w:t>
      </w:r>
      <w:r w:rsidRPr="00641C51">
        <w:rPr>
          <w:rFonts w:asciiTheme="minorHAnsi" w:hAnsiTheme="minorHAnsi"/>
        </w:rPr>
        <w:t>.</w:t>
      </w:r>
      <w:r w:rsidR="00891094" w:rsidRPr="00641C51">
        <w:rPr>
          <w:rFonts w:asciiTheme="minorHAnsi" w:hAnsiTheme="minorHAnsi"/>
        </w:rPr>
        <w:t xml:space="preserve">  Colleges wishing to make additional provision for these costs </w:t>
      </w:r>
      <w:r w:rsidR="008A2DE3" w:rsidRPr="008A2DE3">
        <w:rPr>
          <w:rFonts w:asciiTheme="minorHAnsi" w:hAnsiTheme="minorHAnsi"/>
          <w:color w:val="7030A0"/>
        </w:rPr>
        <w:t>may</w:t>
      </w:r>
      <w:r w:rsidR="00891094" w:rsidRPr="00641C51">
        <w:rPr>
          <w:rFonts w:asciiTheme="minorHAnsi" w:hAnsiTheme="minorHAnsi"/>
        </w:rPr>
        <w:t xml:space="preserve"> do so, but </w:t>
      </w:r>
      <w:r w:rsidR="008A2DE3" w:rsidRPr="008A2DE3">
        <w:rPr>
          <w:rFonts w:asciiTheme="minorHAnsi" w:hAnsiTheme="minorHAnsi"/>
          <w:color w:val="7030A0"/>
        </w:rPr>
        <w:t>must</w:t>
      </w:r>
      <w:r w:rsidR="00891094" w:rsidRPr="00641C51">
        <w:rPr>
          <w:rFonts w:asciiTheme="minorHAnsi" w:hAnsiTheme="minorHAnsi"/>
        </w:rPr>
        <w:t xml:space="preserve"> provide evidence to support them.  This would normally</w:t>
      </w:r>
      <w:r w:rsidR="00FC28CC">
        <w:rPr>
          <w:rFonts w:asciiTheme="minorHAnsi" w:hAnsiTheme="minorHAnsi"/>
        </w:rPr>
        <w:t xml:space="preserve"> be based on historical trends.</w:t>
      </w:r>
    </w:p>
    <w:p w:rsidR="00997DAE" w:rsidRPr="00641C51" w:rsidRDefault="00997DAE" w:rsidP="00891094">
      <w:pPr>
        <w:rPr>
          <w:rFonts w:asciiTheme="minorHAnsi" w:hAnsiTheme="minorHAnsi"/>
        </w:rPr>
      </w:pPr>
      <w:r w:rsidRPr="00641C51">
        <w:rPr>
          <w:rFonts w:asciiTheme="minorHAnsi" w:hAnsiTheme="minorHAnsi"/>
        </w:rPr>
        <w:t>In summary</w:t>
      </w:r>
      <w:r w:rsidR="003F1C10" w:rsidRPr="00641C51">
        <w:rPr>
          <w:rFonts w:asciiTheme="minorHAnsi" w:hAnsiTheme="minorHAnsi"/>
        </w:rPr>
        <w:t>,</w:t>
      </w:r>
      <w:r w:rsidRPr="00641C51">
        <w:rPr>
          <w:rFonts w:asciiTheme="minorHAnsi" w:hAnsiTheme="minorHAnsi"/>
        </w:rPr>
        <w:t xml:space="preserve"> </w:t>
      </w:r>
      <w:r w:rsidR="00FC28CC">
        <w:rPr>
          <w:rFonts w:asciiTheme="minorHAnsi" w:hAnsiTheme="minorHAnsi"/>
        </w:rPr>
        <w:t>a</w:t>
      </w:r>
      <w:r w:rsidRPr="00641C51">
        <w:rPr>
          <w:rFonts w:asciiTheme="minorHAnsi" w:hAnsiTheme="minorHAnsi"/>
        </w:rPr>
        <w:t>bsence provisions</w:t>
      </w:r>
      <w:r w:rsidR="003F1C10" w:rsidRPr="00641C51">
        <w:rPr>
          <w:rFonts w:asciiTheme="minorHAnsi" w:hAnsiTheme="minorHAnsi"/>
        </w:rPr>
        <w:t>:</w:t>
      </w:r>
    </w:p>
    <w:p w:rsidR="00891094" w:rsidRPr="00641C51" w:rsidRDefault="008A2DE3" w:rsidP="00891094">
      <w:pPr>
        <w:pStyle w:val="ListParagraph"/>
        <w:numPr>
          <w:ilvl w:val="0"/>
          <w:numId w:val="43"/>
        </w:numPr>
        <w:spacing w:before="0" w:beforeAutospacing="0" w:after="200" w:afterAutospacing="0" w:line="276" w:lineRule="auto"/>
        <w:contextualSpacing/>
        <w:rPr>
          <w:rFonts w:asciiTheme="minorHAnsi" w:hAnsiTheme="minorHAnsi"/>
          <w:sz w:val="22"/>
          <w:szCs w:val="22"/>
        </w:rPr>
      </w:pPr>
      <w:r w:rsidRPr="008A2DE3">
        <w:rPr>
          <w:rFonts w:asciiTheme="minorHAnsi" w:hAnsiTheme="minorHAnsi"/>
          <w:color w:val="7030A0"/>
          <w:sz w:val="22"/>
          <w:szCs w:val="22"/>
        </w:rPr>
        <w:t>should</w:t>
      </w:r>
      <w:r w:rsidR="00891094" w:rsidRPr="00641C51">
        <w:rPr>
          <w:rFonts w:asciiTheme="minorHAnsi" w:hAnsiTheme="minorHAnsi"/>
          <w:sz w:val="22"/>
          <w:szCs w:val="22"/>
        </w:rPr>
        <w:t xml:space="preserve"> be viewed as a single budgeting exercise</w:t>
      </w:r>
    </w:p>
    <w:p w:rsidR="00891094" w:rsidRPr="00641C51" w:rsidRDefault="008A2DE3" w:rsidP="00891094">
      <w:pPr>
        <w:pStyle w:val="ListParagraph"/>
        <w:numPr>
          <w:ilvl w:val="0"/>
          <w:numId w:val="43"/>
        </w:numPr>
        <w:spacing w:before="0" w:beforeAutospacing="0" w:after="200" w:afterAutospacing="0" w:line="276" w:lineRule="auto"/>
        <w:contextualSpacing/>
        <w:rPr>
          <w:rFonts w:asciiTheme="minorHAnsi" w:hAnsiTheme="minorHAnsi"/>
          <w:sz w:val="22"/>
          <w:szCs w:val="22"/>
        </w:rPr>
      </w:pPr>
      <w:r w:rsidRPr="008A2DE3">
        <w:rPr>
          <w:rFonts w:asciiTheme="minorHAnsi" w:hAnsiTheme="minorHAnsi"/>
          <w:color w:val="7030A0"/>
          <w:sz w:val="22"/>
          <w:szCs w:val="22"/>
        </w:rPr>
        <w:t>should</w:t>
      </w:r>
      <w:r w:rsidR="00891094" w:rsidRPr="00641C51">
        <w:rPr>
          <w:rFonts w:asciiTheme="minorHAnsi" w:hAnsiTheme="minorHAnsi"/>
          <w:sz w:val="22"/>
          <w:szCs w:val="22"/>
        </w:rPr>
        <w:t xml:space="preserve"> be based on historical data</w:t>
      </w:r>
    </w:p>
    <w:p w:rsidR="00997DAE" w:rsidRPr="00641C51" w:rsidRDefault="008A2DE3" w:rsidP="00891094">
      <w:pPr>
        <w:pStyle w:val="ListParagraph"/>
        <w:numPr>
          <w:ilvl w:val="0"/>
          <w:numId w:val="43"/>
        </w:numPr>
        <w:spacing w:before="0" w:beforeAutospacing="0" w:after="200" w:afterAutospacing="0" w:line="276" w:lineRule="auto"/>
        <w:contextualSpacing/>
        <w:rPr>
          <w:rFonts w:asciiTheme="minorHAnsi" w:hAnsiTheme="minorHAnsi"/>
          <w:sz w:val="22"/>
          <w:szCs w:val="22"/>
        </w:rPr>
      </w:pPr>
      <w:r w:rsidRPr="008A2DE3">
        <w:rPr>
          <w:rFonts w:asciiTheme="minorHAnsi" w:hAnsiTheme="minorHAnsi"/>
          <w:color w:val="7030A0"/>
          <w:sz w:val="22"/>
          <w:szCs w:val="22"/>
        </w:rPr>
        <w:t>must</w:t>
      </w:r>
      <w:r w:rsidR="00997DAE" w:rsidRPr="00641C51">
        <w:rPr>
          <w:rFonts w:asciiTheme="minorHAnsi" w:hAnsiTheme="minorHAnsi"/>
          <w:sz w:val="22"/>
          <w:szCs w:val="22"/>
        </w:rPr>
        <w:t xml:space="preserve"> be evidence based</w:t>
      </w:r>
    </w:p>
    <w:p w:rsidR="00B72527" w:rsidRPr="004306F8" w:rsidRDefault="00B72527" w:rsidP="00B72527">
      <w:pPr>
        <w:pStyle w:val="Heading2"/>
        <w:numPr>
          <w:ilvl w:val="1"/>
          <w:numId w:val="29"/>
        </w:numPr>
      </w:pPr>
      <w:bookmarkStart w:id="41" w:name="_Toc384902698"/>
      <w:r w:rsidRPr="004306F8">
        <w:t>Vacancy savings</w:t>
      </w:r>
      <w:bookmarkEnd w:id="41"/>
      <w:r w:rsidRPr="004306F8">
        <w:t xml:space="preserve"> </w:t>
      </w:r>
    </w:p>
    <w:p w:rsidR="00B72527" w:rsidRDefault="00B72527" w:rsidP="00B72527">
      <w:pPr>
        <w:spacing w:line="240" w:lineRule="auto"/>
      </w:pPr>
      <w:r w:rsidRPr="004306F8">
        <w:t xml:space="preserve">It is essential that staffing budgets reflect the best estimate of staff costs for each year. They </w:t>
      </w:r>
      <w:r w:rsidR="00B60049">
        <w:rPr>
          <w:color w:val="7030A0"/>
        </w:rPr>
        <w:t>must</w:t>
      </w:r>
      <w:r w:rsidRPr="004306F8">
        <w:t xml:space="preserve"> </w:t>
      </w:r>
      <w:r w:rsidRPr="004306F8">
        <w:rPr>
          <w:u w:val="single"/>
        </w:rPr>
        <w:t>not</w:t>
      </w:r>
      <w:r w:rsidRPr="004306F8">
        <w:t xml:space="preserve"> reflect a full establishment and </w:t>
      </w:r>
      <w:r w:rsidR="00B60049">
        <w:rPr>
          <w:color w:val="7030A0"/>
        </w:rPr>
        <w:t>must</w:t>
      </w:r>
      <w:r w:rsidRPr="004306F8">
        <w:t xml:space="preserve"> take into account normal (or expected) staff turnover, vacancy levels and realistic starting dates for new posts.</w:t>
      </w:r>
    </w:p>
    <w:p w:rsidR="003F1C10" w:rsidRDefault="003F1C10" w:rsidP="00B72527">
      <w:r>
        <w:t xml:space="preserve">Within professional services, </w:t>
      </w:r>
      <w:r w:rsidR="00B72527" w:rsidRPr="00B67535">
        <w:t xml:space="preserve">a vacancy factor of 2% of </w:t>
      </w:r>
      <w:r>
        <w:t xml:space="preserve">staff costs </w:t>
      </w:r>
      <w:r w:rsidR="00B60049" w:rsidRPr="00B60049">
        <w:rPr>
          <w:color w:val="7030A0"/>
        </w:rPr>
        <w:t>must</w:t>
      </w:r>
      <w:r w:rsidR="00B60049">
        <w:t xml:space="preserve"> be</w:t>
      </w:r>
      <w:r>
        <w:t xml:space="preserve"> applied </w:t>
      </w:r>
      <w:r w:rsidRPr="00B67535">
        <w:t>by entering onto Cognos within the provisions tab.</w:t>
      </w:r>
    </w:p>
    <w:p w:rsidR="003F1C10" w:rsidRDefault="003F1C10" w:rsidP="00B72527">
      <w:r>
        <w:t xml:space="preserve">Colleges are recommended to apply this factor to </w:t>
      </w:r>
      <w:r w:rsidR="00B72527" w:rsidRPr="00B67535">
        <w:t>non-grant funded staff costs</w:t>
      </w:r>
      <w:r>
        <w:t>.</w:t>
      </w:r>
    </w:p>
    <w:p w:rsidR="00B72527" w:rsidRDefault="00B72527" w:rsidP="00B72527">
      <w:r w:rsidRPr="00B67535">
        <w:t>Colleges choosing to depart from this</w:t>
      </w:r>
      <w:r w:rsidR="00B60049">
        <w:t xml:space="preserve"> rate</w:t>
      </w:r>
      <w:r w:rsidRPr="00B67535">
        <w:t xml:space="preserve"> </w:t>
      </w:r>
      <w:r w:rsidR="008A2DE3" w:rsidRPr="008A2DE3">
        <w:rPr>
          <w:color w:val="7030A0"/>
        </w:rPr>
        <w:t>must</w:t>
      </w:r>
      <w:r w:rsidRPr="00B67535">
        <w:t xml:space="preserve"> justify the change, for example by demonstrating a significantly different historic rate.</w:t>
      </w:r>
    </w:p>
    <w:p w:rsidR="003F1C10" w:rsidRPr="00B67535" w:rsidRDefault="003F1C10" w:rsidP="00B72527">
      <w:r>
        <w:t>Note that a significant proportion of vacancy savings are achieved through a delayed start for new posts, particularly where there is a block budgeted to commence on 1</w:t>
      </w:r>
      <w:r w:rsidRPr="003F1C10">
        <w:rPr>
          <w:vertAlign w:val="superscript"/>
        </w:rPr>
        <w:t>st</w:t>
      </w:r>
      <w:r>
        <w:t xml:space="preserve"> August.  If colleges have deliberately taken a staggered approach to new posts, they </w:t>
      </w:r>
      <w:r w:rsidR="008A2DE3" w:rsidRPr="008A2DE3">
        <w:rPr>
          <w:color w:val="7030A0"/>
        </w:rPr>
        <w:t>should</w:t>
      </w:r>
      <w:r>
        <w:t xml:space="preserve"> consider a lower vacancy provision.</w:t>
      </w:r>
    </w:p>
    <w:p w:rsidR="00B72527" w:rsidRPr="001B3EA4" w:rsidRDefault="00B72527" w:rsidP="00B72527">
      <w:pPr>
        <w:pStyle w:val="Heading2"/>
        <w:numPr>
          <w:ilvl w:val="1"/>
          <w:numId w:val="29"/>
        </w:numPr>
      </w:pPr>
      <w:bookmarkStart w:id="42" w:name="_Toc384902699"/>
      <w:r w:rsidRPr="001B3EA4">
        <w:t>Maternity provision</w:t>
      </w:r>
      <w:bookmarkEnd w:id="42"/>
    </w:p>
    <w:p w:rsidR="00B72527" w:rsidRPr="001B3EA4" w:rsidRDefault="00B72527" w:rsidP="00B72527">
      <w:r w:rsidRPr="001B3EA4">
        <w:t xml:space="preserve">The </w:t>
      </w:r>
      <w:r w:rsidR="00521BE4">
        <w:t xml:space="preserve">financial </w:t>
      </w:r>
      <w:r w:rsidRPr="001B3EA4">
        <w:t xml:space="preserve">costs of maternity are the excess of cost of </w:t>
      </w:r>
      <w:r w:rsidR="00521BE4">
        <w:t xml:space="preserve">additional staff / </w:t>
      </w:r>
      <w:r w:rsidRPr="001B3EA4">
        <w:t>backfill plus net cost of maternity pay over funding envelope.</w:t>
      </w:r>
    </w:p>
    <w:p w:rsidR="00B72527" w:rsidRPr="001B3EA4" w:rsidRDefault="00B72527" w:rsidP="00B72527">
      <w:r w:rsidRPr="001B3EA4">
        <w:t xml:space="preserve">On average, maternity </w:t>
      </w:r>
      <w:r w:rsidR="009E1E2A">
        <w:t xml:space="preserve">pay </w:t>
      </w:r>
      <w:r w:rsidRPr="001B3EA4">
        <w:t xml:space="preserve">costs equate to 3 months’ salary where someone is off for 6 months, and 4 months’ salary </w:t>
      </w:r>
      <w:r w:rsidR="009E1E2A">
        <w:t>where</w:t>
      </w:r>
      <w:r w:rsidRPr="001B3EA4">
        <w:t xml:space="preserve"> they are off for 12 months.</w:t>
      </w:r>
    </w:p>
    <w:p w:rsidR="00C12666" w:rsidRDefault="00C12666" w:rsidP="00B72527">
      <w:r>
        <w:t xml:space="preserve">While some maternity leave </w:t>
      </w:r>
      <w:r w:rsidR="008A2DE3" w:rsidRPr="00971CEF">
        <w:t>may</w:t>
      </w:r>
      <w:r>
        <w:t xml:space="preserve"> be known about when setting the budget, not all will, and it </w:t>
      </w:r>
      <w:r w:rsidR="008A2DE3" w:rsidRPr="00971CEF">
        <w:t>may</w:t>
      </w:r>
      <w:r>
        <w:t xml:space="preserve"> be necessary to make a general provision.</w:t>
      </w:r>
    </w:p>
    <w:p w:rsidR="00C12666" w:rsidRPr="00641C51" w:rsidRDefault="00521BE4" w:rsidP="00B72527">
      <w:pPr>
        <w:rPr>
          <w:rFonts w:asciiTheme="minorHAnsi" w:hAnsiTheme="minorHAnsi"/>
        </w:rPr>
      </w:pPr>
      <w:r>
        <w:t xml:space="preserve">Colleges </w:t>
      </w:r>
      <w:r w:rsidR="008A2DE3" w:rsidRPr="008A2DE3">
        <w:rPr>
          <w:color w:val="7030A0"/>
        </w:rPr>
        <w:t>should</w:t>
      </w:r>
      <w:r>
        <w:t>:</w:t>
      </w:r>
    </w:p>
    <w:p w:rsidR="00521BE4" w:rsidRPr="00641C51" w:rsidRDefault="00521BE4" w:rsidP="00521BE4">
      <w:pPr>
        <w:pStyle w:val="ListParagraph"/>
        <w:numPr>
          <w:ilvl w:val="0"/>
          <w:numId w:val="45"/>
        </w:numPr>
        <w:rPr>
          <w:rFonts w:asciiTheme="minorHAnsi" w:hAnsiTheme="minorHAnsi"/>
          <w:sz w:val="22"/>
          <w:szCs w:val="22"/>
        </w:rPr>
      </w:pPr>
      <w:r w:rsidRPr="00641C51">
        <w:rPr>
          <w:rFonts w:asciiTheme="minorHAnsi" w:hAnsiTheme="minorHAnsi"/>
          <w:sz w:val="22"/>
          <w:szCs w:val="22"/>
        </w:rPr>
        <w:t>Budget for known maternity leave, using assumptions about how cover will be provided</w:t>
      </w:r>
    </w:p>
    <w:p w:rsidR="00D6781E" w:rsidRPr="00641C51" w:rsidRDefault="00D6781E" w:rsidP="00521BE4">
      <w:pPr>
        <w:pStyle w:val="ListParagraph"/>
        <w:numPr>
          <w:ilvl w:val="0"/>
          <w:numId w:val="45"/>
        </w:numPr>
        <w:rPr>
          <w:rFonts w:asciiTheme="minorHAnsi" w:hAnsiTheme="minorHAnsi"/>
          <w:sz w:val="22"/>
          <w:szCs w:val="22"/>
        </w:rPr>
      </w:pPr>
      <w:r w:rsidRPr="00641C51">
        <w:rPr>
          <w:rFonts w:asciiTheme="minorHAnsi" w:hAnsiTheme="minorHAnsi"/>
          <w:sz w:val="22"/>
          <w:szCs w:val="22"/>
        </w:rPr>
        <w:t xml:space="preserve">Consider providing an additional provision for further maternity leave, based on </w:t>
      </w:r>
    </w:p>
    <w:p w:rsidR="00D6781E" w:rsidRPr="00641C51" w:rsidRDefault="00D6781E" w:rsidP="00D6781E">
      <w:pPr>
        <w:pStyle w:val="ListParagraph"/>
        <w:numPr>
          <w:ilvl w:val="1"/>
          <w:numId w:val="45"/>
        </w:numPr>
        <w:rPr>
          <w:rFonts w:asciiTheme="minorHAnsi" w:hAnsiTheme="minorHAnsi"/>
          <w:sz w:val="22"/>
          <w:szCs w:val="22"/>
        </w:rPr>
      </w:pPr>
      <w:r w:rsidRPr="00641C51">
        <w:rPr>
          <w:rFonts w:asciiTheme="minorHAnsi" w:hAnsiTheme="minorHAnsi"/>
          <w:sz w:val="22"/>
          <w:szCs w:val="22"/>
        </w:rPr>
        <w:lastRenderedPageBreak/>
        <w:t>Staff Demographics</w:t>
      </w:r>
    </w:p>
    <w:p w:rsidR="00D6781E" w:rsidRPr="00641C51" w:rsidRDefault="00D6781E" w:rsidP="00D6781E">
      <w:pPr>
        <w:pStyle w:val="ListParagraph"/>
        <w:numPr>
          <w:ilvl w:val="1"/>
          <w:numId w:val="45"/>
        </w:numPr>
        <w:rPr>
          <w:rFonts w:asciiTheme="minorHAnsi" w:hAnsiTheme="minorHAnsi"/>
          <w:sz w:val="22"/>
          <w:szCs w:val="22"/>
        </w:rPr>
      </w:pPr>
      <w:r w:rsidRPr="00641C51">
        <w:rPr>
          <w:rFonts w:asciiTheme="minorHAnsi" w:hAnsiTheme="minorHAnsi"/>
          <w:sz w:val="22"/>
          <w:szCs w:val="22"/>
        </w:rPr>
        <w:t>Staff Type Split (admin / academic)</w:t>
      </w:r>
    </w:p>
    <w:p w:rsidR="00D6781E" w:rsidRPr="00641C51" w:rsidRDefault="009A1AE1" w:rsidP="00D6781E">
      <w:pPr>
        <w:pStyle w:val="ListParagraph"/>
        <w:numPr>
          <w:ilvl w:val="1"/>
          <w:numId w:val="45"/>
        </w:numPr>
        <w:rPr>
          <w:rFonts w:asciiTheme="minorHAnsi" w:hAnsiTheme="minorHAnsi"/>
          <w:sz w:val="22"/>
          <w:szCs w:val="22"/>
        </w:rPr>
      </w:pPr>
      <w:r w:rsidRPr="00641C51">
        <w:rPr>
          <w:rFonts w:asciiTheme="minorHAnsi" w:hAnsiTheme="minorHAnsi"/>
          <w:sz w:val="22"/>
          <w:szCs w:val="22"/>
        </w:rPr>
        <w:t xml:space="preserve">Historical </w:t>
      </w:r>
      <w:r w:rsidR="00FE1723" w:rsidRPr="00641C51">
        <w:rPr>
          <w:rFonts w:asciiTheme="minorHAnsi" w:hAnsiTheme="minorHAnsi"/>
          <w:sz w:val="22"/>
          <w:szCs w:val="22"/>
        </w:rPr>
        <w:t>levels of maternity leave</w:t>
      </w:r>
    </w:p>
    <w:p w:rsidR="00FE1723" w:rsidRPr="00641C51" w:rsidRDefault="00FE1723" w:rsidP="00D6781E">
      <w:pPr>
        <w:pStyle w:val="ListParagraph"/>
        <w:numPr>
          <w:ilvl w:val="1"/>
          <w:numId w:val="45"/>
        </w:numPr>
        <w:rPr>
          <w:rFonts w:asciiTheme="minorHAnsi" w:hAnsiTheme="minorHAnsi"/>
          <w:sz w:val="22"/>
          <w:szCs w:val="22"/>
        </w:rPr>
      </w:pPr>
      <w:r w:rsidRPr="00641C51">
        <w:rPr>
          <w:rFonts w:asciiTheme="minorHAnsi" w:hAnsiTheme="minorHAnsi"/>
          <w:sz w:val="22"/>
          <w:szCs w:val="22"/>
        </w:rPr>
        <w:t>Other factors (e.g. Athena SWAN, Gender Charter Mark)</w:t>
      </w:r>
    </w:p>
    <w:p w:rsidR="0063104C" w:rsidRPr="00641C51" w:rsidRDefault="00521BE4" w:rsidP="00521BE4">
      <w:pPr>
        <w:rPr>
          <w:rFonts w:asciiTheme="minorHAnsi" w:hAnsiTheme="minorHAnsi"/>
        </w:rPr>
      </w:pPr>
      <w:r w:rsidRPr="00641C51">
        <w:rPr>
          <w:rFonts w:asciiTheme="minorHAnsi" w:hAnsiTheme="minorHAnsi"/>
        </w:rPr>
        <w:t xml:space="preserve">The elements of the provision </w:t>
      </w:r>
      <w:r w:rsidR="008A2DE3" w:rsidRPr="008A2DE3">
        <w:rPr>
          <w:rFonts w:asciiTheme="minorHAnsi" w:hAnsiTheme="minorHAnsi"/>
          <w:color w:val="7030A0"/>
        </w:rPr>
        <w:t>must</w:t>
      </w:r>
      <w:r w:rsidRPr="00641C51">
        <w:rPr>
          <w:rFonts w:asciiTheme="minorHAnsi" w:hAnsiTheme="minorHAnsi"/>
        </w:rPr>
        <w:t xml:space="preserve"> be entered into Cognos </w:t>
      </w:r>
      <w:r w:rsidR="0063104C" w:rsidRPr="00641C51">
        <w:rPr>
          <w:rFonts w:asciiTheme="minorHAnsi" w:hAnsiTheme="minorHAnsi"/>
        </w:rPr>
        <w:t>as follows:</w:t>
      </w:r>
    </w:p>
    <w:p w:rsidR="0063104C" w:rsidRPr="00641C51" w:rsidRDefault="0063104C" w:rsidP="00521BE4">
      <w:pPr>
        <w:rPr>
          <w:rFonts w:asciiTheme="minorHAnsi" w:hAnsiTheme="minorHAnsi"/>
        </w:rPr>
      </w:pPr>
      <w:r w:rsidRPr="00641C51">
        <w:rPr>
          <w:rFonts w:asciiTheme="minorHAnsi" w:hAnsiTheme="minorHAnsi"/>
        </w:rPr>
        <w:t>For known maternity leave:</w:t>
      </w:r>
    </w:p>
    <w:p w:rsidR="0063104C" w:rsidRPr="00641C51" w:rsidRDefault="0063104C" w:rsidP="0063104C">
      <w:pPr>
        <w:pStyle w:val="ListParagraph"/>
        <w:numPr>
          <w:ilvl w:val="0"/>
          <w:numId w:val="45"/>
        </w:numPr>
        <w:rPr>
          <w:rFonts w:asciiTheme="minorHAnsi" w:hAnsiTheme="minorHAnsi"/>
          <w:sz w:val="22"/>
          <w:szCs w:val="22"/>
        </w:rPr>
      </w:pPr>
      <w:r w:rsidRPr="00641C51">
        <w:rPr>
          <w:rFonts w:asciiTheme="minorHAnsi" w:hAnsiTheme="minorHAnsi"/>
          <w:sz w:val="22"/>
          <w:szCs w:val="22"/>
        </w:rPr>
        <w:t xml:space="preserve">Show the post on maternity </w:t>
      </w:r>
      <w:r w:rsidR="00A549A3">
        <w:rPr>
          <w:rFonts w:asciiTheme="minorHAnsi" w:hAnsiTheme="minorHAnsi"/>
          <w:sz w:val="22"/>
          <w:szCs w:val="22"/>
        </w:rPr>
        <w:t>leave</w:t>
      </w:r>
      <w:r w:rsidRPr="00641C51">
        <w:rPr>
          <w:rFonts w:asciiTheme="minorHAnsi" w:hAnsiTheme="minorHAnsi"/>
          <w:sz w:val="22"/>
          <w:szCs w:val="22"/>
        </w:rPr>
        <w:t xml:space="preserve"> at full cost / FTE</w:t>
      </w:r>
    </w:p>
    <w:p w:rsidR="0063104C" w:rsidRPr="00641C51" w:rsidRDefault="0063104C" w:rsidP="0063104C">
      <w:pPr>
        <w:pStyle w:val="ListParagraph"/>
        <w:numPr>
          <w:ilvl w:val="0"/>
          <w:numId w:val="45"/>
        </w:numPr>
        <w:rPr>
          <w:rFonts w:asciiTheme="minorHAnsi" w:hAnsiTheme="minorHAnsi"/>
          <w:sz w:val="22"/>
          <w:szCs w:val="22"/>
        </w:rPr>
      </w:pPr>
      <w:r w:rsidRPr="00641C51">
        <w:rPr>
          <w:rFonts w:asciiTheme="minorHAnsi" w:hAnsiTheme="minorHAnsi"/>
          <w:sz w:val="22"/>
          <w:szCs w:val="22"/>
        </w:rPr>
        <w:t>Show any cover / backfill at full cost / FTE</w:t>
      </w:r>
    </w:p>
    <w:p w:rsidR="0063104C" w:rsidRPr="00641C51" w:rsidRDefault="0063104C" w:rsidP="0063104C">
      <w:pPr>
        <w:pStyle w:val="ListParagraph"/>
        <w:numPr>
          <w:ilvl w:val="0"/>
          <w:numId w:val="45"/>
        </w:numPr>
        <w:rPr>
          <w:rFonts w:asciiTheme="minorHAnsi" w:hAnsiTheme="minorHAnsi"/>
          <w:sz w:val="22"/>
          <w:szCs w:val="22"/>
        </w:rPr>
      </w:pPr>
      <w:r w:rsidRPr="00641C51">
        <w:rPr>
          <w:rFonts w:asciiTheme="minorHAnsi" w:hAnsiTheme="minorHAnsi"/>
          <w:sz w:val="22"/>
          <w:szCs w:val="22"/>
        </w:rPr>
        <w:t>Show the maternity pay saving (the difference between full cost of the person on maternity leave and the actual costs that will be incurred for them) as a negative provision on the provisions tab, under the Maternity Pay category</w:t>
      </w:r>
      <w:r w:rsidR="007D0A91">
        <w:rPr>
          <w:rFonts w:asciiTheme="minorHAnsi" w:hAnsiTheme="minorHAnsi"/>
          <w:sz w:val="22"/>
          <w:szCs w:val="22"/>
        </w:rPr>
        <w:t xml:space="preserve"> (one line per person)</w:t>
      </w:r>
    </w:p>
    <w:p w:rsidR="0063104C" w:rsidRPr="00641C51" w:rsidRDefault="0063104C" w:rsidP="0063104C">
      <w:pPr>
        <w:rPr>
          <w:rFonts w:asciiTheme="minorHAnsi" w:hAnsiTheme="minorHAnsi"/>
        </w:rPr>
      </w:pPr>
      <w:r w:rsidRPr="00641C51">
        <w:rPr>
          <w:rFonts w:asciiTheme="minorHAnsi" w:hAnsiTheme="minorHAnsi"/>
        </w:rPr>
        <w:t xml:space="preserve">A </w:t>
      </w:r>
      <w:r w:rsidR="00E8247B">
        <w:rPr>
          <w:rFonts w:asciiTheme="minorHAnsi" w:hAnsiTheme="minorHAnsi"/>
        </w:rPr>
        <w:t xml:space="preserve">simple </w:t>
      </w:r>
      <w:r w:rsidRPr="00641C51">
        <w:rPr>
          <w:rFonts w:asciiTheme="minorHAnsi" w:hAnsiTheme="minorHAnsi"/>
        </w:rPr>
        <w:t xml:space="preserve">maternity pay saving calculator is available from </w:t>
      </w:r>
      <w:r w:rsidR="00FC28CC">
        <w:rPr>
          <w:rFonts w:asciiTheme="minorHAnsi" w:hAnsiTheme="minorHAnsi"/>
        </w:rPr>
        <w:t xml:space="preserve">Abi Mahde in </w:t>
      </w:r>
      <w:r w:rsidR="006B4158">
        <w:rPr>
          <w:rFonts w:asciiTheme="minorHAnsi" w:hAnsiTheme="minorHAnsi"/>
        </w:rPr>
        <w:t>the Management Reporting team</w:t>
      </w:r>
      <w:r w:rsidR="00E8247B">
        <w:rPr>
          <w:rFonts w:asciiTheme="minorHAnsi" w:hAnsiTheme="minorHAnsi"/>
        </w:rPr>
        <w:t>.</w:t>
      </w:r>
    </w:p>
    <w:p w:rsidR="0063104C" w:rsidRPr="00641C51" w:rsidRDefault="0063104C" w:rsidP="0063104C">
      <w:pPr>
        <w:rPr>
          <w:rFonts w:asciiTheme="minorHAnsi" w:hAnsiTheme="minorHAnsi"/>
        </w:rPr>
      </w:pPr>
      <w:r w:rsidRPr="00641C51">
        <w:rPr>
          <w:rFonts w:asciiTheme="minorHAnsi" w:hAnsiTheme="minorHAnsi"/>
        </w:rPr>
        <w:t>For any additional maternity pay provision:</w:t>
      </w:r>
    </w:p>
    <w:p w:rsidR="00FE1723" w:rsidRPr="00641C51" w:rsidRDefault="00FE1723" w:rsidP="0063104C">
      <w:pPr>
        <w:pStyle w:val="ListParagraph"/>
        <w:numPr>
          <w:ilvl w:val="0"/>
          <w:numId w:val="46"/>
        </w:numPr>
        <w:rPr>
          <w:rFonts w:asciiTheme="minorHAnsi" w:hAnsiTheme="minorHAnsi"/>
          <w:sz w:val="22"/>
          <w:szCs w:val="22"/>
        </w:rPr>
      </w:pPr>
      <w:r w:rsidRPr="00641C51">
        <w:rPr>
          <w:rFonts w:asciiTheme="minorHAnsi" w:hAnsiTheme="minorHAnsi"/>
          <w:sz w:val="22"/>
          <w:szCs w:val="22"/>
        </w:rPr>
        <w:t>Calculate the provision based on a simple (Expected Number) * (Average Cost) basis, by staff type</w:t>
      </w:r>
    </w:p>
    <w:p w:rsidR="0063104C" w:rsidRPr="00641C51" w:rsidRDefault="00FE1723" w:rsidP="0063104C">
      <w:pPr>
        <w:pStyle w:val="ListParagraph"/>
        <w:numPr>
          <w:ilvl w:val="0"/>
          <w:numId w:val="46"/>
        </w:numPr>
        <w:rPr>
          <w:rFonts w:asciiTheme="minorHAnsi" w:hAnsiTheme="minorHAnsi"/>
          <w:sz w:val="22"/>
          <w:szCs w:val="22"/>
        </w:rPr>
      </w:pPr>
      <w:r w:rsidRPr="00641C51">
        <w:rPr>
          <w:rFonts w:asciiTheme="minorHAnsi" w:hAnsiTheme="minorHAnsi"/>
          <w:sz w:val="22"/>
          <w:szCs w:val="22"/>
        </w:rPr>
        <w:t xml:space="preserve"> </w:t>
      </w:r>
      <w:r w:rsidR="0063104C" w:rsidRPr="00641C51">
        <w:rPr>
          <w:rFonts w:asciiTheme="minorHAnsi" w:hAnsiTheme="minorHAnsi"/>
          <w:sz w:val="22"/>
          <w:szCs w:val="22"/>
        </w:rPr>
        <w:t>Show the net anticipated cost as single lump sum provision</w:t>
      </w:r>
      <w:r w:rsidR="001B3BD9">
        <w:rPr>
          <w:rFonts w:asciiTheme="minorHAnsi" w:hAnsiTheme="minorHAnsi"/>
          <w:sz w:val="22"/>
          <w:szCs w:val="22"/>
        </w:rPr>
        <w:t xml:space="preserve"> in Cognos</w:t>
      </w:r>
    </w:p>
    <w:p w:rsidR="00B72527" w:rsidRPr="00F659D5" w:rsidRDefault="00B72527" w:rsidP="00B72527">
      <w:pPr>
        <w:pStyle w:val="Heading2"/>
        <w:numPr>
          <w:ilvl w:val="1"/>
          <w:numId w:val="29"/>
        </w:numPr>
      </w:pPr>
      <w:bookmarkStart w:id="43" w:name="_Toc384902700"/>
      <w:r w:rsidRPr="00F659D5">
        <w:t>Long term sickness provision</w:t>
      </w:r>
      <w:bookmarkEnd w:id="43"/>
    </w:p>
    <w:p w:rsidR="00B72527" w:rsidRDefault="00FC28CC" w:rsidP="00661E13">
      <w:r>
        <w:t>The way long term sickness is managed is similar to maternity leave, thus a</w:t>
      </w:r>
      <w:r w:rsidR="007D0A91">
        <w:t xml:space="preserve"> s</w:t>
      </w:r>
      <w:r w:rsidR="00B72527" w:rsidRPr="00F659D5">
        <w:t xml:space="preserve">imilar </w:t>
      </w:r>
      <w:r w:rsidR="007D0A91">
        <w:t xml:space="preserve">approach </w:t>
      </w:r>
      <w:r>
        <w:t xml:space="preserve">is taken </w:t>
      </w:r>
      <w:r w:rsidR="007D0A91" w:rsidRPr="00F659D5">
        <w:t xml:space="preserve">to </w:t>
      </w:r>
      <w:r>
        <w:t>budgeting for it</w:t>
      </w:r>
      <w:r w:rsidR="00661E13">
        <w:t>.</w:t>
      </w:r>
    </w:p>
    <w:p w:rsidR="00661E13" w:rsidRPr="00F659D5" w:rsidRDefault="00661E13" w:rsidP="00661E13">
      <w:r>
        <w:t xml:space="preserve">An employee on sick leave will </w:t>
      </w:r>
      <w:r w:rsidR="00B6628B">
        <w:t xml:space="preserve">cost </w:t>
      </w:r>
      <w:r>
        <w:t>the full amount for the first six months, and just over 50% of full cost for the second</w:t>
      </w:r>
      <w:r w:rsidR="005F76AA">
        <w:t xml:space="preserve">, </w:t>
      </w:r>
      <w:r w:rsidR="00B6628B">
        <w:t xml:space="preserve">subject to them being employed by the University for at least 3 years when they become sick.  Sick pay limits for staff employed for less than three years are at </w:t>
      </w:r>
      <w:hyperlink r:id="rId12" w:history="1">
        <w:r w:rsidR="00B6628B" w:rsidRPr="00DB417D">
          <w:rPr>
            <w:rStyle w:val="Hyperlink"/>
          </w:rPr>
          <w:t>http://www.exeter.ac.uk/staff/employment/leave/sickness/</w:t>
        </w:r>
      </w:hyperlink>
      <w:r w:rsidR="00B6628B">
        <w:t>.</w:t>
      </w:r>
    </w:p>
    <w:p w:rsidR="00661E13" w:rsidRPr="00641C51" w:rsidRDefault="00661E13" w:rsidP="00661E13">
      <w:pPr>
        <w:rPr>
          <w:rFonts w:asciiTheme="minorHAnsi" w:hAnsiTheme="minorHAnsi"/>
        </w:rPr>
      </w:pPr>
      <w:r>
        <w:t xml:space="preserve">Colleges </w:t>
      </w:r>
      <w:r w:rsidR="008A2DE3" w:rsidRPr="008A2DE3">
        <w:rPr>
          <w:color w:val="7030A0"/>
        </w:rPr>
        <w:t>should</w:t>
      </w:r>
      <w:r>
        <w:t>:</w:t>
      </w:r>
    </w:p>
    <w:p w:rsidR="00661E13" w:rsidRPr="00641C51" w:rsidRDefault="00661E13" w:rsidP="00661E13">
      <w:pPr>
        <w:pStyle w:val="ListParagraph"/>
        <w:numPr>
          <w:ilvl w:val="0"/>
          <w:numId w:val="45"/>
        </w:numPr>
        <w:rPr>
          <w:rFonts w:asciiTheme="minorHAnsi" w:hAnsiTheme="minorHAnsi"/>
          <w:sz w:val="22"/>
          <w:szCs w:val="22"/>
        </w:rPr>
      </w:pPr>
      <w:r w:rsidRPr="00641C51">
        <w:rPr>
          <w:rFonts w:asciiTheme="minorHAnsi" w:hAnsiTheme="minorHAnsi"/>
          <w:sz w:val="22"/>
          <w:szCs w:val="22"/>
        </w:rPr>
        <w:t xml:space="preserve">Budget for known </w:t>
      </w:r>
      <w:r w:rsidR="00A549A3">
        <w:rPr>
          <w:rFonts w:asciiTheme="minorHAnsi" w:hAnsiTheme="minorHAnsi"/>
          <w:sz w:val="22"/>
          <w:szCs w:val="22"/>
        </w:rPr>
        <w:t>sick pay</w:t>
      </w:r>
      <w:r w:rsidRPr="00641C51">
        <w:rPr>
          <w:rFonts w:asciiTheme="minorHAnsi" w:hAnsiTheme="minorHAnsi"/>
          <w:sz w:val="22"/>
          <w:szCs w:val="22"/>
        </w:rPr>
        <w:t>, using assumptions about how cover will be provided</w:t>
      </w:r>
    </w:p>
    <w:p w:rsidR="00661E13" w:rsidRPr="00641C51" w:rsidRDefault="00AD62D3" w:rsidP="00661E13">
      <w:pPr>
        <w:pStyle w:val="ListParagraph"/>
        <w:numPr>
          <w:ilvl w:val="0"/>
          <w:numId w:val="45"/>
        </w:numPr>
        <w:rPr>
          <w:rFonts w:asciiTheme="minorHAnsi" w:hAnsiTheme="minorHAnsi"/>
          <w:sz w:val="22"/>
          <w:szCs w:val="22"/>
        </w:rPr>
      </w:pPr>
      <w:r w:rsidRPr="00AD62D3">
        <w:rPr>
          <w:rFonts w:asciiTheme="minorHAnsi" w:hAnsiTheme="minorHAnsi"/>
          <w:color w:val="7030A0"/>
          <w:sz w:val="22"/>
          <w:szCs w:val="22"/>
        </w:rPr>
        <w:t>May</w:t>
      </w:r>
      <w:r>
        <w:rPr>
          <w:rFonts w:asciiTheme="minorHAnsi" w:hAnsiTheme="minorHAnsi"/>
          <w:sz w:val="22"/>
          <w:szCs w:val="22"/>
        </w:rPr>
        <w:t xml:space="preserve"> </w:t>
      </w:r>
      <w:r w:rsidR="00661E13" w:rsidRPr="00641C51">
        <w:rPr>
          <w:rFonts w:asciiTheme="minorHAnsi" w:hAnsiTheme="minorHAnsi"/>
          <w:sz w:val="22"/>
          <w:szCs w:val="22"/>
        </w:rPr>
        <w:t>provid</w:t>
      </w:r>
      <w:r>
        <w:rPr>
          <w:rFonts w:asciiTheme="minorHAnsi" w:hAnsiTheme="minorHAnsi"/>
          <w:sz w:val="22"/>
          <w:szCs w:val="22"/>
        </w:rPr>
        <w:t>e</w:t>
      </w:r>
      <w:r w:rsidR="00661E13" w:rsidRPr="00641C51">
        <w:rPr>
          <w:rFonts w:asciiTheme="minorHAnsi" w:hAnsiTheme="minorHAnsi"/>
          <w:sz w:val="22"/>
          <w:szCs w:val="22"/>
        </w:rPr>
        <w:t xml:space="preserve"> an additional provision for further </w:t>
      </w:r>
      <w:r w:rsidR="00A549A3">
        <w:rPr>
          <w:rFonts w:asciiTheme="minorHAnsi" w:hAnsiTheme="minorHAnsi"/>
          <w:sz w:val="22"/>
          <w:szCs w:val="22"/>
        </w:rPr>
        <w:t>sick pay</w:t>
      </w:r>
      <w:r w:rsidR="00661E13" w:rsidRPr="00641C51">
        <w:rPr>
          <w:rFonts w:asciiTheme="minorHAnsi" w:hAnsiTheme="minorHAnsi"/>
          <w:sz w:val="22"/>
          <w:szCs w:val="22"/>
        </w:rPr>
        <w:t xml:space="preserve">, based on </w:t>
      </w:r>
    </w:p>
    <w:p w:rsidR="00661E13" w:rsidRPr="00641C51" w:rsidRDefault="00661E13" w:rsidP="00661E13">
      <w:pPr>
        <w:pStyle w:val="ListParagraph"/>
        <w:numPr>
          <w:ilvl w:val="1"/>
          <w:numId w:val="45"/>
        </w:numPr>
        <w:rPr>
          <w:rFonts w:asciiTheme="minorHAnsi" w:hAnsiTheme="minorHAnsi"/>
          <w:sz w:val="22"/>
          <w:szCs w:val="22"/>
        </w:rPr>
      </w:pPr>
      <w:r w:rsidRPr="00641C51">
        <w:rPr>
          <w:rFonts w:asciiTheme="minorHAnsi" w:hAnsiTheme="minorHAnsi"/>
          <w:sz w:val="22"/>
          <w:szCs w:val="22"/>
        </w:rPr>
        <w:t>Staff Type Split (admin / academic)</w:t>
      </w:r>
    </w:p>
    <w:p w:rsidR="00661E13" w:rsidRPr="00641C51" w:rsidRDefault="00661E13" w:rsidP="00661E13">
      <w:pPr>
        <w:pStyle w:val="ListParagraph"/>
        <w:numPr>
          <w:ilvl w:val="1"/>
          <w:numId w:val="45"/>
        </w:numPr>
        <w:rPr>
          <w:rFonts w:asciiTheme="minorHAnsi" w:hAnsiTheme="minorHAnsi"/>
          <w:sz w:val="22"/>
          <w:szCs w:val="22"/>
        </w:rPr>
      </w:pPr>
      <w:r w:rsidRPr="00641C51">
        <w:rPr>
          <w:rFonts w:asciiTheme="minorHAnsi" w:hAnsiTheme="minorHAnsi"/>
          <w:sz w:val="22"/>
          <w:szCs w:val="22"/>
        </w:rPr>
        <w:t xml:space="preserve">Historical levels of </w:t>
      </w:r>
      <w:r w:rsidR="00A549A3">
        <w:rPr>
          <w:rFonts w:asciiTheme="minorHAnsi" w:hAnsiTheme="minorHAnsi"/>
          <w:sz w:val="22"/>
          <w:szCs w:val="22"/>
        </w:rPr>
        <w:t>sick pay</w:t>
      </w:r>
    </w:p>
    <w:p w:rsidR="00661E13" w:rsidRPr="00641C51" w:rsidRDefault="00661E13" w:rsidP="00661E13">
      <w:pPr>
        <w:rPr>
          <w:rFonts w:asciiTheme="minorHAnsi" w:hAnsiTheme="minorHAnsi"/>
        </w:rPr>
      </w:pPr>
      <w:r w:rsidRPr="00641C51">
        <w:rPr>
          <w:rFonts w:asciiTheme="minorHAnsi" w:hAnsiTheme="minorHAnsi"/>
        </w:rPr>
        <w:t xml:space="preserve">The elements of the provision </w:t>
      </w:r>
      <w:r w:rsidR="008A2DE3" w:rsidRPr="008A2DE3">
        <w:rPr>
          <w:rFonts w:asciiTheme="minorHAnsi" w:hAnsiTheme="minorHAnsi"/>
          <w:color w:val="7030A0"/>
        </w:rPr>
        <w:t>must</w:t>
      </w:r>
      <w:r w:rsidRPr="00641C51">
        <w:rPr>
          <w:rFonts w:asciiTheme="minorHAnsi" w:hAnsiTheme="minorHAnsi"/>
        </w:rPr>
        <w:t xml:space="preserve"> be entered into Cognos as follows:</w:t>
      </w:r>
    </w:p>
    <w:p w:rsidR="00661E13" w:rsidRPr="00641C51" w:rsidRDefault="00661E13" w:rsidP="00661E13">
      <w:pPr>
        <w:rPr>
          <w:rFonts w:asciiTheme="minorHAnsi" w:hAnsiTheme="minorHAnsi"/>
        </w:rPr>
      </w:pPr>
      <w:r w:rsidRPr="00641C51">
        <w:rPr>
          <w:rFonts w:asciiTheme="minorHAnsi" w:hAnsiTheme="minorHAnsi"/>
        </w:rPr>
        <w:t xml:space="preserve">For known </w:t>
      </w:r>
      <w:r w:rsidR="00A549A3">
        <w:rPr>
          <w:rFonts w:asciiTheme="minorHAnsi" w:hAnsiTheme="minorHAnsi"/>
        </w:rPr>
        <w:t>sick pay</w:t>
      </w:r>
      <w:r w:rsidRPr="00641C51">
        <w:rPr>
          <w:rFonts w:asciiTheme="minorHAnsi" w:hAnsiTheme="minorHAnsi"/>
        </w:rPr>
        <w:t>:</w:t>
      </w:r>
    </w:p>
    <w:p w:rsidR="00661E13" w:rsidRPr="00641C51" w:rsidRDefault="00661E13" w:rsidP="00661E13">
      <w:pPr>
        <w:pStyle w:val="ListParagraph"/>
        <w:numPr>
          <w:ilvl w:val="0"/>
          <w:numId w:val="45"/>
        </w:numPr>
        <w:rPr>
          <w:rFonts w:asciiTheme="minorHAnsi" w:hAnsiTheme="minorHAnsi"/>
          <w:sz w:val="22"/>
          <w:szCs w:val="22"/>
        </w:rPr>
      </w:pPr>
      <w:r w:rsidRPr="00641C51">
        <w:rPr>
          <w:rFonts w:asciiTheme="minorHAnsi" w:hAnsiTheme="minorHAnsi"/>
          <w:sz w:val="22"/>
          <w:szCs w:val="22"/>
        </w:rPr>
        <w:t xml:space="preserve">Show the post on </w:t>
      </w:r>
      <w:r w:rsidR="00A549A3">
        <w:rPr>
          <w:rFonts w:asciiTheme="minorHAnsi" w:hAnsiTheme="minorHAnsi"/>
          <w:sz w:val="22"/>
          <w:szCs w:val="22"/>
        </w:rPr>
        <w:t xml:space="preserve">sick leave </w:t>
      </w:r>
      <w:r w:rsidRPr="00641C51">
        <w:rPr>
          <w:rFonts w:asciiTheme="minorHAnsi" w:hAnsiTheme="minorHAnsi"/>
          <w:sz w:val="22"/>
          <w:szCs w:val="22"/>
        </w:rPr>
        <w:t>at full cost / FTE</w:t>
      </w:r>
    </w:p>
    <w:p w:rsidR="00661E13" w:rsidRPr="00641C51" w:rsidRDefault="00661E13" w:rsidP="00661E13">
      <w:pPr>
        <w:pStyle w:val="ListParagraph"/>
        <w:numPr>
          <w:ilvl w:val="0"/>
          <w:numId w:val="45"/>
        </w:numPr>
        <w:rPr>
          <w:rFonts w:asciiTheme="minorHAnsi" w:hAnsiTheme="minorHAnsi"/>
          <w:sz w:val="22"/>
          <w:szCs w:val="22"/>
        </w:rPr>
      </w:pPr>
      <w:r w:rsidRPr="00641C51">
        <w:rPr>
          <w:rFonts w:asciiTheme="minorHAnsi" w:hAnsiTheme="minorHAnsi"/>
          <w:sz w:val="22"/>
          <w:szCs w:val="22"/>
        </w:rPr>
        <w:t>Show any cover / backfill at full cost / FTE</w:t>
      </w:r>
    </w:p>
    <w:p w:rsidR="00661E13" w:rsidRPr="00641C51" w:rsidRDefault="00661E13" w:rsidP="00661E13">
      <w:pPr>
        <w:pStyle w:val="ListParagraph"/>
        <w:numPr>
          <w:ilvl w:val="0"/>
          <w:numId w:val="45"/>
        </w:numPr>
        <w:rPr>
          <w:rFonts w:asciiTheme="minorHAnsi" w:hAnsiTheme="minorHAnsi"/>
          <w:sz w:val="22"/>
          <w:szCs w:val="22"/>
        </w:rPr>
      </w:pPr>
      <w:r w:rsidRPr="00641C51">
        <w:rPr>
          <w:rFonts w:asciiTheme="minorHAnsi" w:hAnsiTheme="minorHAnsi"/>
          <w:sz w:val="22"/>
          <w:szCs w:val="22"/>
        </w:rPr>
        <w:t xml:space="preserve">Show the </w:t>
      </w:r>
      <w:r w:rsidR="00A549A3">
        <w:rPr>
          <w:rFonts w:asciiTheme="minorHAnsi" w:hAnsiTheme="minorHAnsi"/>
          <w:sz w:val="22"/>
          <w:szCs w:val="22"/>
        </w:rPr>
        <w:t>sick</w:t>
      </w:r>
      <w:r w:rsidRPr="00641C51">
        <w:rPr>
          <w:rFonts w:asciiTheme="minorHAnsi" w:hAnsiTheme="minorHAnsi"/>
          <w:sz w:val="22"/>
          <w:szCs w:val="22"/>
        </w:rPr>
        <w:t xml:space="preserve"> pay saving (the difference between full cost of the person on </w:t>
      </w:r>
      <w:r w:rsidR="00A549A3">
        <w:rPr>
          <w:rFonts w:asciiTheme="minorHAnsi" w:hAnsiTheme="minorHAnsi"/>
          <w:sz w:val="22"/>
          <w:szCs w:val="22"/>
        </w:rPr>
        <w:t>sick</w:t>
      </w:r>
      <w:r w:rsidRPr="00641C51">
        <w:rPr>
          <w:rFonts w:asciiTheme="minorHAnsi" w:hAnsiTheme="minorHAnsi"/>
          <w:sz w:val="22"/>
          <w:szCs w:val="22"/>
        </w:rPr>
        <w:t xml:space="preserve"> leave and the actual costs that will be incurred for them) as a negative provision on the provisions tab, under the </w:t>
      </w:r>
      <w:r w:rsidR="00A549A3">
        <w:rPr>
          <w:rFonts w:asciiTheme="minorHAnsi" w:hAnsiTheme="minorHAnsi"/>
          <w:sz w:val="22"/>
          <w:szCs w:val="22"/>
        </w:rPr>
        <w:t>Sick</w:t>
      </w:r>
      <w:r w:rsidRPr="00641C51">
        <w:rPr>
          <w:rFonts w:asciiTheme="minorHAnsi" w:hAnsiTheme="minorHAnsi"/>
          <w:sz w:val="22"/>
          <w:szCs w:val="22"/>
        </w:rPr>
        <w:t xml:space="preserve"> Pay category</w:t>
      </w:r>
      <w:r>
        <w:rPr>
          <w:rFonts w:asciiTheme="minorHAnsi" w:hAnsiTheme="minorHAnsi"/>
          <w:sz w:val="22"/>
          <w:szCs w:val="22"/>
        </w:rPr>
        <w:t xml:space="preserve"> (one line per person)</w:t>
      </w:r>
    </w:p>
    <w:p w:rsidR="00661E13" w:rsidRPr="00641C51" w:rsidRDefault="00661E13" w:rsidP="00661E13">
      <w:pPr>
        <w:rPr>
          <w:rFonts w:asciiTheme="minorHAnsi" w:hAnsiTheme="minorHAnsi"/>
        </w:rPr>
      </w:pPr>
      <w:r w:rsidRPr="00641C51">
        <w:rPr>
          <w:rFonts w:asciiTheme="minorHAnsi" w:hAnsiTheme="minorHAnsi"/>
        </w:rPr>
        <w:lastRenderedPageBreak/>
        <w:t xml:space="preserve">For any additional </w:t>
      </w:r>
      <w:r w:rsidR="00A549A3">
        <w:rPr>
          <w:rFonts w:asciiTheme="minorHAnsi" w:hAnsiTheme="minorHAnsi"/>
        </w:rPr>
        <w:t>sick</w:t>
      </w:r>
      <w:r w:rsidRPr="00641C51">
        <w:rPr>
          <w:rFonts w:asciiTheme="minorHAnsi" w:hAnsiTheme="minorHAnsi"/>
        </w:rPr>
        <w:t xml:space="preserve"> pay provision:</w:t>
      </w:r>
    </w:p>
    <w:p w:rsidR="00661E13" w:rsidRPr="00641C51" w:rsidRDefault="00661E13" w:rsidP="00661E13">
      <w:pPr>
        <w:pStyle w:val="ListParagraph"/>
        <w:numPr>
          <w:ilvl w:val="0"/>
          <w:numId w:val="46"/>
        </w:numPr>
        <w:rPr>
          <w:rFonts w:asciiTheme="minorHAnsi" w:hAnsiTheme="minorHAnsi"/>
          <w:sz w:val="22"/>
          <w:szCs w:val="22"/>
        </w:rPr>
      </w:pPr>
      <w:r w:rsidRPr="00641C51">
        <w:rPr>
          <w:rFonts w:asciiTheme="minorHAnsi" w:hAnsiTheme="minorHAnsi"/>
          <w:sz w:val="22"/>
          <w:szCs w:val="22"/>
        </w:rPr>
        <w:t xml:space="preserve">Calculate the provision based on a simple (Expected Number) </w:t>
      </w:r>
      <w:r w:rsidR="002C7F6C">
        <w:rPr>
          <w:rFonts w:asciiTheme="minorHAnsi" w:hAnsiTheme="minorHAnsi"/>
          <w:sz w:val="22"/>
          <w:szCs w:val="22"/>
        </w:rPr>
        <w:t>X</w:t>
      </w:r>
      <w:r w:rsidRPr="00641C51">
        <w:rPr>
          <w:rFonts w:asciiTheme="minorHAnsi" w:hAnsiTheme="minorHAnsi"/>
          <w:sz w:val="22"/>
          <w:szCs w:val="22"/>
        </w:rPr>
        <w:t xml:space="preserve"> (Average Cost) basis, by staff type</w:t>
      </w:r>
    </w:p>
    <w:p w:rsidR="00661E13" w:rsidRPr="00641C51" w:rsidRDefault="00661E13" w:rsidP="00661E13">
      <w:pPr>
        <w:pStyle w:val="ListParagraph"/>
        <w:numPr>
          <w:ilvl w:val="0"/>
          <w:numId w:val="46"/>
        </w:numPr>
        <w:rPr>
          <w:rFonts w:asciiTheme="minorHAnsi" w:hAnsiTheme="minorHAnsi"/>
          <w:sz w:val="22"/>
          <w:szCs w:val="22"/>
        </w:rPr>
      </w:pPr>
      <w:r w:rsidRPr="00641C51">
        <w:rPr>
          <w:rFonts w:asciiTheme="minorHAnsi" w:hAnsiTheme="minorHAnsi"/>
          <w:sz w:val="22"/>
          <w:szCs w:val="22"/>
        </w:rPr>
        <w:t xml:space="preserve"> Show the net anticipated cost as single lump sum provision</w:t>
      </w:r>
      <w:r>
        <w:rPr>
          <w:rFonts w:asciiTheme="minorHAnsi" w:hAnsiTheme="minorHAnsi"/>
          <w:sz w:val="22"/>
          <w:szCs w:val="22"/>
        </w:rPr>
        <w:t xml:space="preserve"> in Cognos</w:t>
      </w:r>
    </w:p>
    <w:p w:rsidR="00B72527" w:rsidRPr="00117BAB" w:rsidRDefault="00B72527" w:rsidP="00B72527">
      <w:pPr>
        <w:pStyle w:val="Heading2"/>
        <w:numPr>
          <w:ilvl w:val="1"/>
          <w:numId w:val="29"/>
        </w:numPr>
      </w:pPr>
      <w:bookmarkStart w:id="44" w:name="_Toc384902701"/>
      <w:r w:rsidRPr="00117BAB">
        <w:t>Temporary staff related provisions</w:t>
      </w:r>
      <w:bookmarkEnd w:id="44"/>
    </w:p>
    <w:p w:rsidR="00B72527" w:rsidRDefault="00D34F0D" w:rsidP="00B72527">
      <w:r>
        <w:t>Where t</w:t>
      </w:r>
      <w:r w:rsidR="00B72527" w:rsidRPr="00117BAB">
        <w:t xml:space="preserve">emporary staff </w:t>
      </w:r>
      <w:r>
        <w:t xml:space="preserve">are used to manage </w:t>
      </w:r>
      <w:r w:rsidR="00B72527" w:rsidRPr="00117BAB">
        <w:t xml:space="preserve">seasonal </w:t>
      </w:r>
      <w:r>
        <w:t xml:space="preserve">or other irregular </w:t>
      </w:r>
      <w:r w:rsidR="00B72527" w:rsidRPr="00117BAB">
        <w:t xml:space="preserve">workloads </w:t>
      </w:r>
      <w:r>
        <w:t xml:space="preserve">(e.g. start of term, property maintenance), costs </w:t>
      </w:r>
      <w:r w:rsidR="008A2DE3" w:rsidRPr="008A2DE3">
        <w:rPr>
          <w:color w:val="7030A0"/>
        </w:rPr>
        <w:t>should</w:t>
      </w:r>
      <w:r w:rsidR="00B72527" w:rsidRPr="00117BAB">
        <w:t xml:space="preserve"> be budgeted using historic data as a guide.</w:t>
      </w:r>
    </w:p>
    <w:p w:rsidR="00ED4CAA" w:rsidRDefault="00B72527" w:rsidP="00B72527">
      <w:r w:rsidRPr="00117BAB">
        <w:t xml:space="preserve">Temporary staff costs relating to </w:t>
      </w:r>
      <w:r w:rsidR="00ED4CAA">
        <w:t>absences</w:t>
      </w:r>
      <w:r w:rsidRPr="00117BAB">
        <w:t xml:space="preserve"> (e.g. maternity, sickness, secondment, vacancies), </w:t>
      </w:r>
      <w:r w:rsidR="008A2DE3" w:rsidRPr="008A2DE3">
        <w:rPr>
          <w:color w:val="7030A0"/>
        </w:rPr>
        <w:t>should</w:t>
      </w:r>
      <w:r w:rsidRPr="00117BAB">
        <w:t xml:space="preserve"> </w:t>
      </w:r>
      <w:r w:rsidR="00ED4CAA">
        <w:t>be budgeted within the relevant provision above.</w:t>
      </w:r>
    </w:p>
    <w:p w:rsidR="00C613AC" w:rsidRDefault="00B72527" w:rsidP="00B72527">
      <w:r w:rsidRPr="001B3EA4">
        <w:t xml:space="preserve">Colleges </w:t>
      </w:r>
      <w:r w:rsidR="00C613AC">
        <w:t xml:space="preserve">wishing to budget for </w:t>
      </w:r>
      <w:r w:rsidR="00E97DD5">
        <w:t xml:space="preserve">additional </w:t>
      </w:r>
      <w:r w:rsidR="00C613AC">
        <w:t xml:space="preserve">temporary staff costs </w:t>
      </w:r>
      <w:r w:rsidR="008A2DE3" w:rsidRPr="008A2DE3">
        <w:rPr>
          <w:color w:val="7030A0"/>
        </w:rPr>
        <w:t>must</w:t>
      </w:r>
      <w:r w:rsidRPr="001B3EA4">
        <w:t xml:space="preserve"> </w:t>
      </w:r>
      <w:r w:rsidR="00E97DD5">
        <w:t>provide a justification</w:t>
      </w:r>
      <w:r w:rsidR="00697330">
        <w:t>, including details of how it interacts with other provisions.</w:t>
      </w:r>
      <w:r w:rsidR="00D34F0D">
        <w:t xml:space="preserve"> An example might be using temporary staff to cover vacancies in front line positions where a full 2% vacancy saving has already been predicted.</w:t>
      </w:r>
    </w:p>
    <w:p w:rsidR="00D94B0D" w:rsidRDefault="00D94B0D" w:rsidP="00B72527">
      <w:pPr>
        <w:pStyle w:val="Heading2"/>
      </w:pPr>
      <w:bookmarkStart w:id="45" w:name="_Toc384902702"/>
      <w:r w:rsidRPr="00AE70E7">
        <w:t>Staff FTE</w:t>
      </w:r>
      <w:bookmarkEnd w:id="45"/>
    </w:p>
    <w:p w:rsidR="002E5685" w:rsidRPr="00E117B2" w:rsidRDefault="000C5E89" w:rsidP="002E5685">
      <w:pPr>
        <w:ind w:left="142"/>
      </w:pPr>
      <w:r w:rsidRPr="00E117B2">
        <w:t>It is important that staff FTE are correctly captured and categorised in the budget.  This i</w:t>
      </w:r>
      <w:r w:rsidR="002E5685" w:rsidRPr="00E117B2">
        <w:t xml:space="preserve">s </w:t>
      </w:r>
      <w:r w:rsidRPr="00E117B2">
        <w:t>don</w:t>
      </w:r>
      <w:r w:rsidR="002E5685" w:rsidRPr="00E117B2">
        <w:t>e</w:t>
      </w:r>
      <w:r w:rsidRPr="00E117B2">
        <w:t xml:space="preserve"> through the Cognos staffing module</w:t>
      </w:r>
      <w:r w:rsidR="002E5685" w:rsidRPr="00E117B2">
        <w:t>, by</w:t>
      </w:r>
      <w:r w:rsidR="00622C81" w:rsidRPr="00E117B2">
        <w:t xml:space="preserve"> </w:t>
      </w:r>
      <w:r w:rsidR="002E5685" w:rsidRPr="00E117B2">
        <w:t>following these rules:</w:t>
      </w:r>
    </w:p>
    <w:p w:rsidR="002E5685" w:rsidRPr="00E117B2" w:rsidRDefault="00A47BA7" w:rsidP="00DF07C5">
      <w:pPr>
        <w:ind w:left="142"/>
      </w:pPr>
      <w:r>
        <w:t>S</w:t>
      </w:r>
      <w:r w:rsidR="00622C81" w:rsidRPr="00E117B2">
        <w:t xml:space="preserve">taff costs </w:t>
      </w:r>
      <w:r>
        <w:t xml:space="preserve">representing FTE </w:t>
      </w:r>
      <w:r w:rsidR="008A2DE3" w:rsidRPr="008A2DE3">
        <w:rPr>
          <w:color w:val="7030A0"/>
        </w:rPr>
        <w:t>must</w:t>
      </w:r>
      <w:r w:rsidR="00622C81" w:rsidRPr="00E117B2">
        <w:t xml:space="preserve"> be put into the “Staff Details” tab as individual lines</w:t>
      </w:r>
    </w:p>
    <w:p w:rsidR="00622C81" w:rsidRPr="00E117B2" w:rsidRDefault="00622C81" w:rsidP="00DF07C5">
      <w:pPr>
        <w:ind w:left="142"/>
      </w:pPr>
      <w:r w:rsidRPr="00E117B2">
        <w:t xml:space="preserve">The “Status” column </w:t>
      </w:r>
      <w:r w:rsidR="008A2DE3" w:rsidRPr="008A2DE3">
        <w:rPr>
          <w:color w:val="7030A0"/>
        </w:rPr>
        <w:t>must</w:t>
      </w:r>
      <w:r w:rsidRPr="00E117B2">
        <w:t xml:space="preserve"> be completed</w:t>
      </w:r>
    </w:p>
    <w:p w:rsidR="00622C81" w:rsidRPr="00E117B2" w:rsidRDefault="00622C81" w:rsidP="00DF07C5">
      <w:pPr>
        <w:ind w:left="862"/>
      </w:pPr>
      <w:r w:rsidRPr="00E117B2">
        <w:t xml:space="preserve">Filled Post: someone is employed under a contract of employment at the date of setting </w:t>
      </w:r>
      <w:r w:rsidR="00DF07C5" w:rsidRPr="00E117B2">
        <w:t xml:space="preserve">the budget </w:t>
      </w:r>
      <w:r w:rsidRPr="00E117B2">
        <w:t>– this includes cases where the employee has not yet started, but a contract of employment exists</w:t>
      </w:r>
      <w:r w:rsidR="007D0A91">
        <w:t>.</w:t>
      </w:r>
    </w:p>
    <w:p w:rsidR="00622C81" w:rsidRPr="00E117B2" w:rsidRDefault="00A337C5" w:rsidP="00DF07C5">
      <w:pPr>
        <w:ind w:left="862"/>
      </w:pPr>
      <w:r>
        <w:t xml:space="preserve">Existing post </w:t>
      </w:r>
      <w:r w:rsidR="007D0A91" w:rsidRPr="00E117B2">
        <w:t>–</w:t>
      </w:r>
      <w:r w:rsidR="007D0A91">
        <w:t xml:space="preserve"> </w:t>
      </w:r>
      <w:r w:rsidR="00622C81" w:rsidRPr="00E117B2">
        <w:t xml:space="preserve">Vacant: </w:t>
      </w:r>
      <w:r w:rsidR="00160591" w:rsidRPr="00E117B2">
        <w:t>The post is part of the current business plan, but no-one is employed in the post.</w:t>
      </w:r>
    </w:p>
    <w:p w:rsidR="00160591" w:rsidRPr="00E117B2" w:rsidRDefault="00160591" w:rsidP="00DF07C5">
      <w:pPr>
        <w:ind w:left="862"/>
      </w:pPr>
      <w:r w:rsidRPr="00E117B2">
        <w:t xml:space="preserve">New Post – Vacant: The post is part of a proposed business expansion or new income stream that has yet to be approved in the </w:t>
      </w:r>
      <w:r w:rsidR="0025444B" w:rsidRPr="00E117B2">
        <w:t xml:space="preserve">current year </w:t>
      </w:r>
      <w:r w:rsidRPr="00E117B2">
        <w:t>budget</w:t>
      </w:r>
      <w:r w:rsidR="007D0A91">
        <w:t>.</w:t>
      </w:r>
    </w:p>
    <w:p w:rsidR="00160591" w:rsidRPr="00E117B2" w:rsidRDefault="00160591" w:rsidP="00DF07C5">
      <w:pPr>
        <w:ind w:left="862"/>
      </w:pPr>
      <w:r w:rsidRPr="00E117B2">
        <w:t xml:space="preserve">Example 1: Replacing a retiring professor with two lecturers – the new posts are </w:t>
      </w:r>
      <w:r w:rsidR="007D0A91">
        <w:t xml:space="preserve">Existing post </w:t>
      </w:r>
      <w:r w:rsidR="007D0A91" w:rsidRPr="00E117B2">
        <w:t>–</w:t>
      </w:r>
      <w:r w:rsidR="007D0A91">
        <w:t xml:space="preserve"> </w:t>
      </w:r>
      <w:r w:rsidRPr="00E117B2">
        <w:t xml:space="preserve">Vacant, not New Post </w:t>
      </w:r>
      <w:r w:rsidR="00634C0F" w:rsidRPr="00E117B2">
        <w:t>–</w:t>
      </w:r>
      <w:r w:rsidRPr="00E117B2">
        <w:t xml:space="preserve"> Vacant</w:t>
      </w:r>
      <w:r w:rsidR="00634C0F" w:rsidRPr="00E117B2">
        <w:t>, as this is just delivering the current business in a different manner</w:t>
      </w:r>
      <w:r w:rsidR="007D0A91">
        <w:t>.</w:t>
      </w:r>
    </w:p>
    <w:p w:rsidR="00634C0F" w:rsidRDefault="00634C0F" w:rsidP="00DF07C5">
      <w:pPr>
        <w:ind w:left="862"/>
      </w:pPr>
      <w:r w:rsidRPr="00E117B2">
        <w:t xml:space="preserve">Example 2: </w:t>
      </w:r>
      <w:r w:rsidR="0025444B" w:rsidRPr="00E117B2">
        <w:t xml:space="preserve">A new program requires 2 additional staff each year for three years (so 6 in total).  In year one budget, the two staff members are both “New”.  </w:t>
      </w:r>
      <w:r w:rsidR="00A337C5">
        <w:t xml:space="preserve">Throughout the budget they will be shown as new and then in the next planning cycle (if filled) </w:t>
      </w:r>
      <w:r w:rsidR="0025444B" w:rsidRPr="00E117B2">
        <w:t>e), these two posts become Filled, but the next two are again New.  Similarly a year later there will be 4 Filled and 2 New posts.</w:t>
      </w:r>
    </w:p>
    <w:p w:rsidR="00A337C5" w:rsidRDefault="00A337C5" w:rsidP="00DF07C5">
      <w:pPr>
        <w:ind w:left="862"/>
      </w:pPr>
      <w:r>
        <w:t>In the first planning cycle the FTE would be displayed as –</w:t>
      </w:r>
    </w:p>
    <w:p w:rsidR="00A337C5" w:rsidRDefault="00261FAE" w:rsidP="00DF07C5">
      <w:pPr>
        <w:ind w:left="862"/>
      </w:pPr>
      <w:r>
        <w:rPr>
          <w:noProof/>
          <w:lang w:eastAsia="en-GB"/>
        </w:rPr>
        <w:lastRenderedPageBreak/>
        <w:drawing>
          <wp:inline distT="0" distB="0" distL="0" distR="0" wp14:anchorId="040272FE" wp14:editId="6D023FA8">
            <wp:extent cx="2857500" cy="561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57500" cy="561975"/>
                    </a:xfrm>
                    <a:prstGeom prst="rect">
                      <a:avLst/>
                    </a:prstGeom>
                    <a:noFill/>
                    <a:ln w="9525">
                      <a:noFill/>
                      <a:miter lim="800000"/>
                      <a:headEnd/>
                      <a:tailEnd/>
                    </a:ln>
                  </pic:spPr>
                </pic:pic>
              </a:graphicData>
            </a:graphic>
          </wp:inline>
        </w:drawing>
      </w:r>
    </w:p>
    <w:p w:rsidR="00BC777D" w:rsidRDefault="00BC777D" w:rsidP="00DF07C5">
      <w:pPr>
        <w:ind w:left="862"/>
      </w:pPr>
      <w:r>
        <w:t>In the planning cycle for the next year (assuming that Year 1 posts have been filled)</w:t>
      </w:r>
    </w:p>
    <w:p w:rsidR="00BC777D" w:rsidRPr="00E117B2" w:rsidRDefault="00261FAE" w:rsidP="00DF07C5">
      <w:pPr>
        <w:ind w:left="862"/>
      </w:pPr>
      <w:r>
        <w:rPr>
          <w:noProof/>
          <w:lang w:eastAsia="en-GB"/>
        </w:rPr>
        <w:drawing>
          <wp:inline distT="0" distB="0" distL="0" distR="0" wp14:anchorId="0A50F184" wp14:editId="5E4E1491">
            <wp:extent cx="28575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857500" cy="742950"/>
                    </a:xfrm>
                    <a:prstGeom prst="rect">
                      <a:avLst/>
                    </a:prstGeom>
                    <a:noFill/>
                    <a:ln w="9525">
                      <a:noFill/>
                      <a:miter lim="800000"/>
                      <a:headEnd/>
                      <a:tailEnd/>
                    </a:ln>
                  </pic:spPr>
                </pic:pic>
              </a:graphicData>
            </a:graphic>
          </wp:inline>
        </w:drawing>
      </w:r>
    </w:p>
    <w:p w:rsidR="00DF07C5" w:rsidRPr="00E117B2" w:rsidRDefault="00446431" w:rsidP="00DF07C5">
      <w:r>
        <w:t xml:space="preserve">In order </w:t>
      </w:r>
      <w:r w:rsidR="00845AD1" w:rsidRPr="004306F8">
        <w:t xml:space="preserve">to ensure that the correct FTE is </w:t>
      </w:r>
      <w:r w:rsidR="00845AD1">
        <w:t>captured</w:t>
      </w:r>
      <w:r>
        <w:t>, p</w:t>
      </w:r>
      <w:r w:rsidR="00DF07C5" w:rsidRPr="00E117B2">
        <w:t xml:space="preserve">rovisions that represent FTE </w:t>
      </w:r>
      <w:r w:rsidR="00A47BA7">
        <w:rPr>
          <w:color w:val="7030A0"/>
        </w:rPr>
        <w:t>must</w:t>
      </w:r>
      <w:r w:rsidR="00DF07C5" w:rsidRPr="00E117B2">
        <w:t xml:space="preserve"> not be made, instead create a set of individual posts on Cognos that equate to the expected FTE and the same total cost.</w:t>
      </w:r>
      <w:r w:rsidR="00D75217" w:rsidRPr="00E117B2">
        <w:t xml:space="preserve">  In this way the FTE is correctly captured in the plan.</w:t>
      </w:r>
    </w:p>
    <w:p w:rsidR="007930F6" w:rsidRDefault="006D1D53" w:rsidP="006D1D53">
      <w:pPr>
        <w:pStyle w:val="ListParagraph"/>
        <w:spacing w:before="0" w:beforeAutospacing="0" w:after="0" w:afterAutospacing="0"/>
        <w:rPr>
          <w:rFonts w:ascii="Calibri" w:eastAsia="Calibri" w:hAnsi="Calibri"/>
          <w:sz w:val="22"/>
          <w:szCs w:val="22"/>
          <w:lang w:eastAsia="en-US"/>
        </w:rPr>
      </w:pPr>
      <w:r w:rsidRPr="006D1D53">
        <w:rPr>
          <w:rFonts w:ascii="Calibri" w:eastAsia="Calibri" w:hAnsi="Calibri"/>
          <w:sz w:val="22"/>
          <w:szCs w:val="22"/>
          <w:lang w:eastAsia="en-US"/>
        </w:rPr>
        <w:t xml:space="preserve">Core Funded </w:t>
      </w:r>
      <w:r w:rsidR="007930F6" w:rsidRPr="006D1D53">
        <w:rPr>
          <w:rFonts w:ascii="Calibri" w:eastAsia="Calibri" w:hAnsi="Calibri"/>
          <w:sz w:val="22"/>
          <w:szCs w:val="22"/>
          <w:lang w:eastAsia="en-US"/>
        </w:rPr>
        <w:t>Research staff FTE’s</w:t>
      </w:r>
      <w:r>
        <w:rPr>
          <w:rFonts w:ascii="Calibri" w:eastAsia="Calibri" w:hAnsi="Calibri"/>
          <w:sz w:val="22"/>
          <w:szCs w:val="22"/>
          <w:lang w:eastAsia="en-US"/>
        </w:rPr>
        <w:t xml:space="preserve"> are </w:t>
      </w:r>
      <w:r w:rsidR="007930F6" w:rsidRPr="006D1D53">
        <w:rPr>
          <w:rFonts w:ascii="Calibri" w:eastAsia="Calibri" w:hAnsi="Calibri"/>
          <w:sz w:val="22"/>
          <w:szCs w:val="22"/>
          <w:lang w:eastAsia="en-US"/>
        </w:rPr>
        <w:t xml:space="preserve">staff belonging to the research only job family who are core funded and not being charged directly to grants. </w:t>
      </w:r>
    </w:p>
    <w:p w:rsidR="00886B83" w:rsidRDefault="00886B83" w:rsidP="006D1D53">
      <w:pPr>
        <w:pStyle w:val="ListParagraph"/>
        <w:spacing w:before="0" w:beforeAutospacing="0" w:after="0" w:afterAutospacing="0"/>
        <w:rPr>
          <w:rFonts w:ascii="Calibri" w:eastAsia="Calibri" w:hAnsi="Calibri"/>
          <w:sz w:val="22"/>
          <w:szCs w:val="22"/>
          <w:lang w:eastAsia="en-US"/>
        </w:rPr>
      </w:pPr>
    </w:p>
    <w:p w:rsidR="00594766" w:rsidRDefault="00594766" w:rsidP="006D1D53">
      <w:pPr>
        <w:pStyle w:val="ListParagraph"/>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Currently there is no way of capturing the FTE for these grants unless a College holds the staff for this area within a separate module within Cognos.</w:t>
      </w:r>
    </w:p>
    <w:p w:rsidR="00594766" w:rsidRDefault="00594766" w:rsidP="006D1D53">
      <w:pPr>
        <w:pStyle w:val="ListParagraph"/>
        <w:spacing w:before="0" w:beforeAutospacing="0" w:after="0" w:afterAutospacing="0"/>
        <w:rPr>
          <w:rFonts w:ascii="Calibri" w:eastAsia="Calibri" w:hAnsi="Calibri"/>
          <w:sz w:val="22"/>
          <w:szCs w:val="22"/>
          <w:lang w:eastAsia="en-US"/>
        </w:rPr>
      </w:pPr>
    </w:p>
    <w:p w:rsidR="00594766" w:rsidRDefault="00594766" w:rsidP="006D1D53">
      <w:pPr>
        <w:pStyle w:val="ListParagraph"/>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As the costs associated with the above FTE are shown within the Research module and separate to the “core” staff costs any average staff costs are unaffected.</w:t>
      </w:r>
    </w:p>
    <w:p w:rsidR="00E26298" w:rsidRDefault="00E26298" w:rsidP="00B72527">
      <w:pPr>
        <w:pStyle w:val="Heading2"/>
      </w:pPr>
      <w:bookmarkStart w:id="46" w:name="_Toc384902703"/>
      <w:bookmarkStart w:id="47" w:name="_GoBack"/>
      <w:bookmarkEnd w:id="47"/>
      <w:r w:rsidRPr="00AE70E7">
        <w:t>Research Staff Costs</w:t>
      </w:r>
      <w:bookmarkEnd w:id="46"/>
      <w:r>
        <w:t xml:space="preserve"> </w:t>
      </w:r>
    </w:p>
    <w:p w:rsidR="00E26298" w:rsidRPr="00E117B2" w:rsidRDefault="00E26298" w:rsidP="00E26298">
      <w:r w:rsidRPr="00E117B2">
        <w:t xml:space="preserve">These are staff costs that are charged directly to grants and therefore do not appear in College Core Budgets.  </w:t>
      </w:r>
    </w:p>
    <w:p w:rsidR="00DA0D54" w:rsidRDefault="006D1D53" w:rsidP="00E44D07">
      <w:r>
        <w:t>There is currently no mechanism for capturing or reporting the FTE of existing and planned research grant funded staff.  Some colleges (but not all) record existing staff in Cognos, but this does not</w:t>
      </w:r>
      <w:r w:rsidR="00DA0D54">
        <w:t xml:space="preserve"> capture FTE relating </w:t>
      </w:r>
      <w:r w:rsidR="007B42CC">
        <w:t xml:space="preserve">to the </w:t>
      </w:r>
      <w:r w:rsidR="00DA0D54">
        <w:t xml:space="preserve">future.  </w:t>
      </w:r>
    </w:p>
    <w:p w:rsidR="007B42CC" w:rsidRPr="006D1D53" w:rsidRDefault="007B42CC" w:rsidP="00E44D07">
      <w:r>
        <w:t>Attention should be paid in ensuring that the split of research staff and other costs is in line with the split for previous years .</w:t>
      </w:r>
    </w:p>
    <w:p w:rsidR="00D94B0D" w:rsidRDefault="00D94B0D" w:rsidP="00B72527">
      <w:pPr>
        <w:pStyle w:val="Heading2"/>
      </w:pPr>
      <w:bookmarkStart w:id="48" w:name="_Toc384902704"/>
      <w:r w:rsidRPr="00AE70E7">
        <w:t>Research Other Costs</w:t>
      </w:r>
      <w:bookmarkEnd w:id="48"/>
      <w:r w:rsidR="00F234E0">
        <w:t xml:space="preserve"> </w:t>
      </w:r>
    </w:p>
    <w:p w:rsidR="007930F6" w:rsidRDefault="007930F6" w:rsidP="007930F6">
      <w:r w:rsidRPr="00E117B2">
        <w:t>These are non-staff costs that are charged directly to grants and therefore do not appear in College Core Budgets.</w:t>
      </w:r>
    </w:p>
    <w:p w:rsidR="00701F0E" w:rsidRPr="006D1D53" w:rsidRDefault="00701F0E" w:rsidP="00701F0E">
      <w:r>
        <w:t>Attention should be paid in ensuring that the split of research staff and other costs is in line with the split for previous years .</w:t>
      </w:r>
    </w:p>
    <w:p w:rsidR="00D94B0D" w:rsidRDefault="00D94B0D" w:rsidP="00B72527">
      <w:pPr>
        <w:pStyle w:val="Heading2"/>
      </w:pPr>
      <w:bookmarkStart w:id="49" w:name="_Toc384902705"/>
      <w:r w:rsidRPr="00AE70E7">
        <w:t>Student Finance Support – Bursaries and Scholarships</w:t>
      </w:r>
      <w:bookmarkEnd w:id="49"/>
    </w:p>
    <w:p w:rsidR="00DB218E" w:rsidRDefault="00DB218E" w:rsidP="00115128">
      <w:r>
        <w:t xml:space="preserve">Central bursary contributions (OFFA) are calculated automatically within Cognos and are driven by Home/EU student FTE. </w:t>
      </w:r>
    </w:p>
    <w:p w:rsidR="00115128" w:rsidRPr="00B938F3" w:rsidRDefault="00B573E0" w:rsidP="00115128">
      <w:r>
        <w:t>For all other scholarships and bursaries, including internal, c</w:t>
      </w:r>
      <w:r w:rsidR="00DB218E">
        <w:t xml:space="preserve">olleges should include reasonable amounts </w:t>
      </w:r>
      <w:r w:rsidR="00554D47">
        <w:t>(based on historic costs and known events going forward)</w:t>
      </w:r>
      <w:r>
        <w:t>.</w:t>
      </w:r>
      <w:r w:rsidR="00554D47">
        <w:t xml:space="preserve"> </w:t>
      </w:r>
      <w:r>
        <w:t>S</w:t>
      </w:r>
      <w:r w:rsidR="00554D47">
        <w:t xml:space="preserve">ee </w:t>
      </w:r>
      <w:r>
        <w:t xml:space="preserve">also </w:t>
      </w:r>
      <w:r>
        <w:rPr>
          <w:rFonts w:asciiTheme="minorHAnsi" w:hAnsiTheme="minorHAnsi"/>
          <w:i/>
        </w:rPr>
        <w:t>external student support income and expenditure</w:t>
      </w:r>
      <w:r w:rsidR="00554D47">
        <w:t xml:space="preserve"> guidance.</w:t>
      </w:r>
    </w:p>
    <w:p w:rsidR="007930F6" w:rsidRPr="00020A48" w:rsidRDefault="007930F6" w:rsidP="00E117B2">
      <w:pPr>
        <w:pStyle w:val="ListParagraph"/>
        <w:spacing w:before="0" w:beforeAutospacing="0" w:after="0" w:afterAutospacing="0"/>
        <w:rPr>
          <w:rFonts w:asciiTheme="minorHAnsi" w:hAnsiTheme="minorHAnsi"/>
          <w:sz w:val="22"/>
          <w:szCs w:val="22"/>
        </w:rPr>
      </w:pPr>
      <w:r w:rsidRPr="00020A48">
        <w:rPr>
          <w:rFonts w:asciiTheme="minorHAnsi" w:hAnsiTheme="minorHAnsi"/>
          <w:sz w:val="22"/>
          <w:szCs w:val="22"/>
        </w:rPr>
        <w:lastRenderedPageBreak/>
        <w:t>Research scholarships</w:t>
      </w:r>
      <w:r w:rsidR="00020A48" w:rsidRPr="00020A48">
        <w:rPr>
          <w:rFonts w:asciiTheme="minorHAnsi" w:hAnsiTheme="minorHAnsi"/>
          <w:sz w:val="22"/>
          <w:szCs w:val="22"/>
        </w:rPr>
        <w:t xml:space="preserve"> refers to those </w:t>
      </w:r>
      <w:r w:rsidRPr="00020A48">
        <w:rPr>
          <w:rFonts w:asciiTheme="minorHAnsi" w:hAnsiTheme="minorHAnsi"/>
          <w:sz w:val="22"/>
          <w:szCs w:val="22"/>
        </w:rPr>
        <w:t>relating to research activity that appear in Student Finance Support in College plans</w:t>
      </w:r>
      <w:r w:rsidR="00554D47">
        <w:rPr>
          <w:rFonts w:asciiTheme="minorHAnsi" w:hAnsiTheme="minorHAnsi"/>
          <w:sz w:val="22"/>
          <w:szCs w:val="22"/>
        </w:rPr>
        <w:t xml:space="preserve"> and should still be included within the plans</w:t>
      </w:r>
    </w:p>
    <w:p w:rsidR="00D94B0D" w:rsidRPr="00AE70E7" w:rsidRDefault="00D94B0D" w:rsidP="00B72527">
      <w:pPr>
        <w:pStyle w:val="Heading2"/>
      </w:pPr>
      <w:bookmarkStart w:id="50" w:name="_Ref348086238"/>
      <w:bookmarkStart w:id="51" w:name="_Toc384902706"/>
      <w:r w:rsidRPr="00AE70E7">
        <w:t>Operational expenditure</w:t>
      </w:r>
      <w:bookmarkEnd w:id="50"/>
      <w:r w:rsidR="00F234E0">
        <w:t>/Non Pay</w:t>
      </w:r>
      <w:bookmarkEnd w:id="51"/>
      <w:r w:rsidRPr="00AE70E7">
        <w:t xml:space="preserve"> </w:t>
      </w:r>
    </w:p>
    <w:p w:rsidR="00D94B0D" w:rsidRDefault="00A47BA7" w:rsidP="00D94B0D">
      <w:r>
        <w:t>Only include e</w:t>
      </w:r>
      <w:r w:rsidR="00D94B0D">
        <w:t xml:space="preserve">xpenditure relating to income targets within the submitted business plans.  Any investment type spend </w:t>
      </w:r>
      <w:r>
        <w:rPr>
          <w:color w:val="7030A0"/>
        </w:rPr>
        <w:t>must</w:t>
      </w:r>
      <w:r w:rsidR="00D94B0D">
        <w:t xml:space="preserve"> be separately presented as a business case or if capital, a capital template </w:t>
      </w:r>
      <w:r>
        <w:rPr>
          <w:color w:val="7030A0"/>
        </w:rPr>
        <w:t>must</w:t>
      </w:r>
      <w:r w:rsidR="00D94B0D">
        <w:t xml:space="preserve"> be completed.</w:t>
      </w:r>
    </w:p>
    <w:p w:rsidR="00385AED" w:rsidRDefault="00385AED" w:rsidP="00D94B0D">
      <w:r>
        <w:t xml:space="preserve">You </w:t>
      </w:r>
      <w:r w:rsidR="008A2DE3" w:rsidRPr="008A2DE3">
        <w:rPr>
          <w:color w:val="7030A0"/>
        </w:rPr>
        <w:t>should</w:t>
      </w:r>
      <w:r>
        <w:t>, however take into account any significant but infrequent equipment replacement that occurs as part of the normal operation of the college – although this will usually be capital in nature.</w:t>
      </w:r>
    </w:p>
    <w:p w:rsidR="00886B83" w:rsidRDefault="00886B83" w:rsidP="00B72527">
      <w:pPr>
        <w:pStyle w:val="Heading2"/>
      </w:pPr>
      <w:bookmarkStart w:id="52" w:name="_Toc384902707"/>
      <w:bookmarkStart w:id="53" w:name="_Ref348086233"/>
      <w:r>
        <w:t>Library Costs</w:t>
      </w:r>
      <w:bookmarkEnd w:id="52"/>
    </w:p>
    <w:p w:rsidR="00886B83" w:rsidRPr="00886B83" w:rsidRDefault="00AC6A3A" w:rsidP="00886B83">
      <w:r w:rsidRPr="002C7F6C">
        <w:t>Library costs will be moving to a central, institutional budget.  This will happen as part of the rationalisation of transfers process.</w:t>
      </w:r>
    </w:p>
    <w:p w:rsidR="00D94B0D" w:rsidRPr="00AE70E7" w:rsidRDefault="00D94B0D" w:rsidP="00B72527">
      <w:pPr>
        <w:pStyle w:val="Heading2"/>
      </w:pPr>
      <w:bookmarkStart w:id="54" w:name="_Toc384902708"/>
      <w:r w:rsidRPr="00AE70E7">
        <w:t>Space</w:t>
      </w:r>
      <w:bookmarkEnd w:id="53"/>
      <w:r w:rsidRPr="00AE70E7">
        <w:t xml:space="preserve"> including provisions</w:t>
      </w:r>
      <w:bookmarkEnd w:id="54"/>
    </w:p>
    <w:p w:rsidR="00E8247B" w:rsidRDefault="00E8247B" w:rsidP="00E8247B">
      <w:r>
        <w:t>Space charges are the same for both campuses.</w:t>
      </w:r>
    </w:p>
    <w:p w:rsidR="00D11940" w:rsidRDefault="00D11940" w:rsidP="00E8247B">
      <w:r>
        <w:t>Space charges cover the running costs of the space that is used, primarily cleaning, portering, maintenance, security and grounds.  They do not cover utility costs (which are charge separately), nor any costs of the provision of the actual space (capital cost, design, construction, interest, depreciation).</w:t>
      </w:r>
    </w:p>
    <w:p w:rsidR="00C03664" w:rsidRDefault="00C03664" w:rsidP="00D94B0D">
      <w:r>
        <w:t>A space database is maintained by EDS, recording the type and owner of each room.  This database is sent out to colleges and services during the planning process for checking.  Once updated, the database becomes a “census”, and determines the space charge allocation for the following year.</w:t>
      </w:r>
    </w:p>
    <w:p w:rsidR="00306F6E" w:rsidRDefault="00C978F1">
      <w:r>
        <w:t>Own s</w:t>
      </w:r>
      <w:r w:rsidR="00D94B0D" w:rsidRPr="00006E4C">
        <w:t xml:space="preserve">pace charges </w:t>
      </w:r>
      <w:r w:rsidR="008A2DE3" w:rsidRPr="008A2DE3">
        <w:rPr>
          <w:color w:val="7030A0"/>
        </w:rPr>
        <w:t>must</w:t>
      </w:r>
      <w:r w:rsidR="00D94B0D" w:rsidRPr="00006E4C">
        <w:t xml:space="preserve"> only be included for the current space (i.e. existing buildings and existing space allocations as per space census Jan 201</w:t>
      </w:r>
      <w:r w:rsidR="005740B5" w:rsidRPr="00006E4C">
        <w:t>4</w:t>
      </w:r>
      <w:r w:rsidR="00D94B0D" w:rsidRPr="00006E4C">
        <w:t>) and for new space allocations that have been agreed with Campus Services</w:t>
      </w:r>
      <w:r w:rsidR="00006E4C" w:rsidRPr="00006E4C">
        <w:t>.</w:t>
      </w:r>
      <w:r w:rsidR="00D94B0D" w:rsidRPr="00006E4C">
        <w:t xml:space="preserve"> Speculative space charges based on an assumption that more space will be acquired / prov</w:t>
      </w:r>
      <w:r w:rsidR="00006E4C" w:rsidRPr="00006E4C">
        <w:t xml:space="preserve">ided, </w:t>
      </w:r>
      <w:r w:rsidR="00A47BA7">
        <w:rPr>
          <w:color w:val="7030A0"/>
        </w:rPr>
        <w:t>must</w:t>
      </w:r>
      <w:r w:rsidR="00006E4C" w:rsidRPr="00006E4C">
        <w:t xml:space="preserve"> </w:t>
      </w:r>
      <w:r w:rsidR="00A47BA7">
        <w:t>not</w:t>
      </w:r>
      <w:r w:rsidR="00006E4C" w:rsidRPr="00006E4C">
        <w:t xml:space="preserve"> be included</w:t>
      </w:r>
      <w:r w:rsidR="00EE7BFE">
        <w:t xml:space="preserve"> unless they have been agreed with Campus Services or as a part of a specific infrastructure growth plan (ie Living Systems building).  Any changes to the assumptions of increasing or the decreasing space will need to be identified within the PRG3 commentary.</w:t>
      </w:r>
    </w:p>
    <w:p w:rsidR="00306F6E" w:rsidRPr="00B64915" w:rsidRDefault="00306F6E" w:rsidP="00D94B0D">
      <w:r w:rsidRPr="00B64915">
        <w:t>C</w:t>
      </w:r>
      <w:r w:rsidR="00BA07FA" w:rsidRPr="00B64915">
        <w:t xml:space="preserve">entrally Bookable </w:t>
      </w:r>
      <w:r w:rsidRPr="00B64915">
        <w:t>S</w:t>
      </w:r>
      <w:r w:rsidR="00BA07FA" w:rsidRPr="00B64915">
        <w:t>pace</w:t>
      </w:r>
      <w:r w:rsidRPr="00B64915">
        <w:t xml:space="preserve"> </w:t>
      </w:r>
      <w:r w:rsidR="00BA07FA" w:rsidRPr="00B64915">
        <w:t xml:space="preserve">(CBS) is input as a single figure per budget centre, in FTE hours.  In general, this </w:t>
      </w:r>
      <w:r w:rsidR="00A47BA7" w:rsidRPr="00B64915">
        <w:t xml:space="preserve">is </w:t>
      </w:r>
      <w:r w:rsidR="00BA07FA" w:rsidRPr="00B64915">
        <w:t>calculated from student / course numbers, using historical data and taking into account any changes in own space.</w:t>
      </w:r>
      <w:r w:rsidR="00B64915">
        <w:t xml:space="preserve">  The rate used is programmed into Cognos and is available as part of the planning parameters.</w:t>
      </w:r>
    </w:p>
    <w:p w:rsidR="00306F6E" w:rsidRDefault="009B051F" w:rsidP="00D94B0D">
      <w:r>
        <w:t>Other space (</w:t>
      </w:r>
      <w:r w:rsidR="00B64915" w:rsidRPr="00B64915">
        <w:t xml:space="preserve">None Recharged Space </w:t>
      </w:r>
      <w:r>
        <w:t>-</w:t>
      </w:r>
      <w:r w:rsidR="00306F6E" w:rsidRPr="00B64915">
        <w:t>NRS</w:t>
      </w:r>
      <w:r w:rsidR="00B64915" w:rsidRPr="00B64915">
        <w:t>)</w:t>
      </w:r>
      <w:r w:rsidR="00306F6E" w:rsidRPr="00B64915">
        <w:t xml:space="preserve"> </w:t>
      </w:r>
      <w:r w:rsidR="00B64915" w:rsidRPr="00B64915">
        <w:t>is calculated on a per student FTE basis.  The calculation is performed automatically within Cognos, using the figures from the teaching plan.</w:t>
      </w:r>
    </w:p>
    <w:p w:rsidR="00006E4C" w:rsidRDefault="00006E4C" w:rsidP="00D94B0D">
      <w:r w:rsidRPr="00006E4C">
        <w:t xml:space="preserve">Rates used for space charges </w:t>
      </w:r>
      <w:r w:rsidR="00C978F1">
        <w:t>are</w:t>
      </w:r>
      <w:r w:rsidRPr="00006E4C">
        <w:t xml:space="preserve"> contained within Cognos.</w:t>
      </w:r>
    </w:p>
    <w:p w:rsidR="006A5B57" w:rsidRPr="002F7CC5" w:rsidRDefault="00C467E7" w:rsidP="00B72527">
      <w:pPr>
        <w:pStyle w:val="Heading2"/>
      </w:pPr>
      <w:bookmarkStart w:id="55" w:name="_Ref348086230"/>
      <w:bookmarkStart w:id="56" w:name="_Toc384902709"/>
      <w:r w:rsidRPr="002F7CC5">
        <w:lastRenderedPageBreak/>
        <w:t>Utilities</w:t>
      </w:r>
      <w:bookmarkEnd w:id="55"/>
      <w:bookmarkEnd w:id="56"/>
    </w:p>
    <w:p w:rsidR="00C978F1" w:rsidRDefault="00C978F1" w:rsidP="00C978F1">
      <w:pPr>
        <w:pStyle w:val="Heading3"/>
        <w:numPr>
          <w:ilvl w:val="0"/>
          <w:numId w:val="47"/>
        </w:numPr>
      </w:pPr>
      <w:bookmarkStart w:id="57" w:name="_Ref348086273"/>
      <w:r>
        <w:t>Exeter Campuses:</w:t>
      </w:r>
    </w:p>
    <w:p w:rsidR="00B9776A" w:rsidRDefault="00B9776A" w:rsidP="00B9776A">
      <w:r>
        <w:t>All colleges and services will be provided with Utility budget figures by Campus Services.  These will be based on historic consumption for the space owned by you (as recorded in the space census), and charged at estimated supplier cost.  The date that this information will be available is specified in the planning timetable.</w:t>
      </w:r>
    </w:p>
    <w:p w:rsidR="00B9776A" w:rsidRDefault="00B9776A" w:rsidP="00B9776A">
      <w:r>
        <w:t xml:space="preserve">This figure </w:t>
      </w:r>
      <w:r w:rsidR="00A47BA7" w:rsidRPr="00A47BA7">
        <w:rPr>
          <w:color w:val="7030A0"/>
        </w:rPr>
        <w:t>must</w:t>
      </w:r>
      <w:r>
        <w:t xml:space="preserve"> be used for your budget.  Any changes for future years </w:t>
      </w:r>
      <w:r w:rsidR="008A2DE3" w:rsidRPr="008A2DE3">
        <w:rPr>
          <w:color w:val="7030A0"/>
        </w:rPr>
        <w:t>must</w:t>
      </w:r>
      <w:r>
        <w:t xml:space="preserve"> be agreed with Campus Services.</w:t>
      </w:r>
    </w:p>
    <w:p w:rsidR="00B9776A" w:rsidRDefault="00B9776A" w:rsidP="00B9776A">
      <w:r>
        <w:t>If you believe the assumptions behind the budget figure do not take into account a major change, please contact the EDS energy team.</w:t>
      </w:r>
    </w:p>
    <w:p w:rsidR="00B9776A" w:rsidRDefault="00B9776A" w:rsidP="00B9776A">
      <w:r>
        <w:t>With the exception of Residences, actual charges will be equal to budget.</w:t>
      </w:r>
    </w:p>
    <w:p w:rsidR="00AE70E7" w:rsidRDefault="00B9776A" w:rsidP="00B9776A">
      <w:pPr>
        <w:rPr>
          <w:b/>
          <w:color w:val="548DD4"/>
        </w:rPr>
      </w:pPr>
      <w:r>
        <w:t>Please see the EDS energy team if you would like information on reducing your utility costs.</w:t>
      </w:r>
    </w:p>
    <w:p w:rsidR="00C978F1" w:rsidRDefault="00C978F1" w:rsidP="00C978F1">
      <w:pPr>
        <w:pStyle w:val="Heading3"/>
      </w:pPr>
      <w:r w:rsidRPr="00E8247B">
        <w:t xml:space="preserve">Cornwall </w:t>
      </w:r>
      <w:r>
        <w:t>Campus</w:t>
      </w:r>
    </w:p>
    <w:p w:rsidR="00E8247B" w:rsidRPr="00E8247B" w:rsidRDefault="00E8247B" w:rsidP="00E8247B">
      <w:r>
        <w:t>Direct Utility Charging is not yet in place for the Cornwall Campus.  Instead colleges are charged according to their space ownership</w:t>
      </w:r>
      <w:r w:rsidRPr="00685410">
        <w:t>.</w:t>
      </w:r>
      <w:r w:rsidR="00B573E0" w:rsidRPr="00685410">
        <w:t xml:space="preserve">  Cornwall Campus utility costs </w:t>
      </w:r>
      <w:r w:rsidR="00B573E0" w:rsidRPr="002F5B4C">
        <w:rPr>
          <w:color w:val="7030A0"/>
        </w:rPr>
        <w:t xml:space="preserve">must </w:t>
      </w:r>
      <w:r w:rsidR="00B573E0" w:rsidRPr="00685410">
        <w:t>be budgeted on the figures advised by Corporate Accounting.</w:t>
      </w:r>
    </w:p>
    <w:p w:rsidR="00AE70E7" w:rsidRDefault="00D94B0D" w:rsidP="00B72527">
      <w:pPr>
        <w:pStyle w:val="Heading2"/>
      </w:pPr>
      <w:bookmarkStart w:id="58" w:name="_Toc384902710"/>
      <w:r w:rsidRPr="00AE70E7">
        <w:t>Contingencies</w:t>
      </w:r>
      <w:bookmarkEnd w:id="57"/>
      <w:bookmarkEnd w:id="58"/>
    </w:p>
    <w:p w:rsidR="00121BCD" w:rsidRPr="00121BCD" w:rsidRDefault="00121BCD" w:rsidP="00121BCD">
      <w:pPr>
        <w:pStyle w:val="Heading3"/>
        <w:numPr>
          <w:ilvl w:val="0"/>
          <w:numId w:val="49"/>
        </w:numPr>
      </w:pPr>
      <w:r>
        <w:t>In Colleges / Services</w:t>
      </w:r>
    </w:p>
    <w:p w:rsidR="00D94B0D" w:rsidRDefault="00433116" w:rsidP="00AE70E7">
      <w:r>
        <w:t>C</w:t>
      </w:r>
      <w:r w:rsidR="00D94B0D">
        <w:t xml:space="preserve">ontingencies </w:t>
      </w:r>
      <w:r>
        <w:rPr>
          <w:color w:val="7030A0"/>
        </w:rPr>
        <w:t>must not</w:t>
      </w:r>
      <w:r w:rsidR="00D94B0D">
        <w:t xml:space="preserve"> be held within budget centre income or expenditure as this is likely to result in overall contingency being materially overstated which in turn will stifle investment in activity and development generally.  The University’s central contingency budget operates on the basis of a pooling of risk</w:t>
      </w:r>
      <w:r w:rsidR="00A30333">
        <w:t xml:space="preserve"> and opportunities</w:t>
      </w:r>
      <w:r w:rsidR="00D94B0D">
        <w:t>, allowing the amount required for contingency to be minimised, thus maximising the deployment of resource to front-line activity.</w:t>
      </w:r>
    </w:p>
    <w:p w:rsidR="00121BCD" w:rsidRPr="00121BCD" w:rsidRDefault="00121BCD" w:rsidP="00121BCD">
      <w:pPr>
        <w:pStyle w:val="Heading3"/>
      </w:pPr>
      <w:r w:rsidRPr="00121BCD">
        <w:t>Central Contingency</w:t>
      </w:r>
    </w:p>
    <w:p w:rsidR="00121BCD" w:rsidRPr="00121BCD" w:rsidRDefault="00121BCD" w:rsidP="00121BCD">
      <w:r w:rsidRPr="00121BCD">
        <w:t xml:space="preserve">PRG will propose a level of central contingency, reflecting risk disclosed in PRG plans and the wider operating environment. VCEG will own the central contingency budget, its purpose is to cover the risk of material, unexpected costs or shortfalls on income due to unavoidable external circumstances. Examples include: recruitment shortfalls caused by external events such as a geo-political event in one or more countries or a change in government policy, an unexpected level of pay award or material cost inflation on a big-ticket item (eg pensions, utilities, an unexpected change in VAT rate).  </w:t>
      </w:r>
    </w:p>
    <w:p w:rsidR="00121BCD" w:rsidRPr="00121BCD" w:rsidRDefault="00121BCD" w:rsidP="00121BCD">
      <w:r w:rsidRPr="00121BCD">
        <w:t xml:space="preserve">It is anticipated that majority of the central contingency budget will be released/allocated following the completion of the student recruitment cycle in December of each year. </w:t>
      </w:r>
    </w:p>
    <w:p w:rsidR="00121BCD" w:rsidRPr="00121BCD" w:rsidRDefault="00121BCD" w:rsidP="00121BCD">
      <w:r w:rsidRPr="00121BCD">
        <w:t>VCEG may decide to allocate contingency, in whole or part, to Colleges/Services where an event has occurred or release the budget , in whole or part, to either the University’s surplus (and by implication the Capital Fund) or to the Central Investment Budget (topping up its purchasing power).</w:t>
      </w:r>
    </w:p>
    <w:p w:rsidR="00121BCD" w:rsidRPr="00121BCD" w:rsidRDefault="00121BCD" w:rsidP="00121BCD">
      <w:r w:rsidRPr="00121BCD">
        <w:lastRenderedPageBreak/>
        <w:t>Budget allocations will take the form of approved variances in-year. Contingency can only be allocated</w:t>
      </w:r>
      <w:r>
        <w:t xml:space="preserve"> </w:t>
      </w:r>
      <w:r w:rsidRPr="00121BCD">
        <w:t>/</w:t>
      </w:r>
      <w:r>
        <w:t xml:space="preserve"> </w:t>
      </w:r>
      <w:r w:rsidRPr="00121BCD">
        <w:t xml:space="preserve">released for the current financial year. </w:t>
      </w:r>
    </w:p>
    <w:p w:rsidR="00121BCD" w:rsidRPr="00121BCD" w:rsidRDefault="00121BCD" w:rsidP="00121BCD">
      <w:r w:rsidRPr="00121BCD">
        <w:t xml:space="preserve">The contingency budget should be fully allocated or released following the publication of the HEFCE grant letter, usually in March, so that it does not constitute a year-end budget variance. </w:t>
      </w:r>
    </w:p>
    <w:p w:rsidR="00D94B0D" w:rsidRPr="00AE70E7" w:rsidRDefault="00D94B0D" w:rsidP="002F7CC5">
      <w:pPr>
        <w:pStyle w:val="Heading1"/>
      </w:pPr>
      <w:bookmarkStart w:id="59" w:name="_Toc384902711"/>
      <w:r w:rsidRPr="00AE70E7">
        <w:t>Other Guidance</w:t>
      </w:r>
      <w:bookmarkEnd w:id="59"/>
    </w:p>
    <w:p w:rsidR="001272C4" w:rsidRPr="00AE70E7" w:rsidRDefault="001272C4" w:rsidP="00B72527">
      <w:pPr>
        <w:pStyle w:val="Heading2"/>
      </w:pPr>
      <w:bookmarkStart w:id="60" w:name="_Ref348621385"/>
      <w:bookmarkStart w:id="61" w:name="_Toc384902712"/>
      <w:r w:rsidRPr="00AE70E7">
        <w:t>Budget centre investment budget</w:t>
      </w:r>
      <w:bookmarkEnd w:id="60"/>
      <w:bookmarkEnd w:id="61"/>
    </w:p>
    <w:p w:rsidR="005B2D11" w:rsidRPr="005B2D11" w:rsidRDefault="005B2D11" w:rsidP="005B2D11">
      <w:r w:rsidRPr="005B2D11">
        <w:t xml:space="preserve">Colleges </w:t>
      </w:r>
      <w:r w:rsidR="008A2DE3" w:rsidRPr="008A2DE3">
        <w:rPr>
          <w:color w:val="7030A0"/>
        </w:rPr>
        <w:t>may</w:t>
      </w:r>
      <w:r w:rsidRPr="005B2D11">
        <w:t xml:space="preserve"> set aside an annual budget for investment in new developments and initiatives, to be known as the ‘College Investment Budget’ to a maximum of £200k per Budget Centre.  The purpose of these budgets is to provide resource to fund new initiatives, pump-prime new activity and facilitate change. The investment budget </w:t>
      </w:r>
      <w:r w:rsidR="00433116">
        <w:rPr>
          <w:color w:val="7030A0"/>
        </w:rPr>
        <w:t>must</w:t>
      </w:r>
      <w:r w:rsidRPr="005B2D11">
        <w:t xml:space="preserve"> be transparent and proportionate and will be subject to PRG scrutiny. </w:t>
      </w:r>
    </w:p>
    <w:p w:rsidR="0051312B" w:rsidRDefault="0051312B" w:rsidP="002B5DA9">
      <w:r w:rsidRPr="00DC4057">
        <w:t>Colleges are expected to give indications of how they intend to apply their investment budgets.</w:t>
      </w:r>
    </w:p>
    <w:p w:rsidR="005B2D11" w:rsidRDefault="005B2D11" w:rsidP="002B5DA9">
      <w:r>
        <w:t xml:space="preserve">Professional </w:t>
      </w:r>
      <w:r w:rsidR="00C23163">
        <w:t>S</w:t>
      </w:r>
      <w:r>
        <w:t>ervices as a whole also have an investment budget, of £50k for 14/15.  The same guidelines for budgeting apply.</w:t>
      </w:r>
    </w:p>
    <w:p w:rsidR="00121BCD" w:rsidRDefault="00121BCD" w:rsidP="00121BCD">
      <w:pPr>
        <w:pStyle w:val="Heading2"/>
      </w:pPr>
      <w:bookmarkStart w:id="62" w:name="_Toc384902713"/>
      <w:r>
        <w:t>Central Investment Budget</w:t>
      </w:r>
      <w:bookmarkEnd w:id="62"/>
    </w:p>
    <w:p w:rsidR="00121BCD" w:rsidRDefault="00121BCD" w:rsidP="00121BCD">
      <w:r>
        <w:t xml:space="preserve">VCEG hold a central investment budget, replacing the former unbudgeted strategic development fund.  Its purpose is to provide non-recurrent funding for strategic investments in new initiatives, for example to pump prime new cross-University business opportunities or developments that have a University wide impact and are in line with the University’s strategic objectives. It is anticipated that funding will normally be for 1 year but could be for up to 3 years.  </w:t>
      </w:r>
    </w:p>
    <w:p w:rsidR="00121BCD" w:rsidRDefault="00121BCD" w:rsidP="00121BCD">
      <w:r>
        <w:t xml:space="preserve">PRG recommend to VCEG the level of the budget before the start of the year and only VCEG can authorise the release of the budget. </w:t>
      </w:r>
    </w:p>
    <w:p w:rsidR="00121BCD" w:rsidRDefault="00121BCD" w:rsidP="00121BCD">
      <w:r>
        <w:t>Members of VCEG and Deans may apply submit proposals for funding against the budget through one of two routes: (a) via the planning process in order to request funding for the following year or subsequent years or (b) via the CFO for in-year funding. The CFO will make recommendations to VCEG for in-year funding proposals as well as providing reports to VCEG on the budget status (commitments made and levels of uncommitted funds) during the year.</w:t>
      </w:r>
    </w:p>
    <w:p w:rsidR="00121BCD" w:rsidRDefault="00121BCD" w:rsidP="00121BCD">
      <w:r>
        <w:t xml:space="preserve">Budget allocations will take the form of approved variances in-year and baseline adjustments in subsequent years. </w:t>
      </w:r>
    </w:p>
    <w:p w:rsidR="00121BCD" w:rsidRPr="009C7CC5" w:rsidRDefault="00121BCD" w:rsidP="00121BCD">
      <w:r>
        <w:t>Where an allocation is made to a College or Service, it is important that any carry forward requests are made promptly to the Head of Management Accounting in order that these can be accommodated in the next update of the 5-year financial plans. If this is not done, then Colleges/Services will have to fund the roll-forward from within their existing baseline.</w:t>
      </w:r>
    </w:p>
    <w:p w:rsidR="008506C2" w:rsidRDefault="008506C2" w:rsidP="00B72527">
      <w:pPr>
        <w:pStyle w:val="Heading2"/>
      </w:pPr>
      <w:bookmarkStart w:id="63" w:name="_Ref348684687"/>
      <w:bookmarkStart w:id="64" w:name="_Toc384902714"/>
      <w:bookmarkStart w:id="65" w:name="_Ref348086244"/>
      <w:r w:rsidRPr="00AE70E7">
        <w:lastRenderedPageBreak/>
        <w:t xml:space="preserve">Capital </w:t>
      </w:r>
      <w:r w:rsidRPr="002F7CC5">
        <w:t>Expenditure</w:t>
      </w:r>
      <w:bookmarkEnd w:id="63"/>
      <w:bookmarkEnd w:id="64"/>
    </w:p>
    <w:p w:rsidR="00446431" w:rsidRDefault="00E117B2" w:rsidP="00E117B2">
      <w:pPr>
        <w:jc w:val="both"/>
      </w:pPr>
      <w:r>
        <w:rPr>
          <w:b/>
          <w:bCs/>
        </w:rPr>
        <w:t>Capital Projects</w:t>
      </w:r>
      <w:r>
        <w:t xml:space="preserve"> </w:t>
      </w:r>
      <w:r w:rsidR="00433116">
        <w:rPr>
          <w:color w:val="7030A0"/>
        </w:rPr>
        <w:t>must</w:t>
      </w:r>
      <w:r>
        <w:t xml:space="preserve"> form part of the planning process and </w:t>
      </w:r>
      <w:r w:rsidR="00433116">
        <w:rPr>
          <w:color w:val="7030A0"/>
        </w:rPr>
        <w:t>must</w:t>
      </w:r>
      <w:r>
        <w:t xml:space="preserve"> be discussed at PRG. Adhoc capital projects which emerge mid-year which have not been discussed at PRG </w:t>
      </w:r>
      <w:r w:rsidR="00433116">
        <w:t xml:space="preserve">are expected to </w:t>
      </w:r>
      <w:r>
        <w:t>be the exception rather than the rule.</w:t>
      </w:r>
    </w:p>
    <w:p w:rsidR="00460C16" w:rsidRDefault="00460C16" w:rsidP="00E117B2">
      <w:pPr>
        <w:jc w:val="both"/>
      </w:pPr>
      <w:r>
        <w:t xml:space="preserve">Where funding of a capital project involves an increase in contribution, this </w:t>
      </w:r>
      <w:r w:rsidR="00433116">
        <w:rPr>
          <w:color w:val="7030A0"/>
        </w:rPr>
        <w:t>must</w:t>
      </w:r>
      <w:r>
        <w:t xml:space="preserve"> be shown within </w:t>
      </w:r>
      <w:r w:rsidR="00C23163">
        <w:t>C</w:t>
      </w:r>
      <w:r>
        <w:t>ognos as self funded capital (</w:t>
      </w:r>
      <w:r w:rsidR="00446431">
        <w:t xml:space="preserve">the use of </w:t>
      </w:r>
      <w:r>
        <w:t>subjective code T30</w:t>
      </w:r>
      <w:r w:rsidR="00446431">
        <w:t xml:space="preserve"> has been proposed for this purpose but not yet approved</w:t>
      </w:r>
      <w:r>
        <w:t>).</w:t>
      </w:r>
    </w:p>
    <w:p w:rsidR="00E117B2" w:rsidRDefault="00E117B2" w:rsidP="00E117B2">
      <w:pPr>
        <w:pStyle w:val="BodyTextIndent"/>
        <w:ind w:left="0"/>
        <w:jc w:val="both"/>
        <w:rPr>
          <w:rFonts w:ascii="Calibri" w:hAnsi="Calibri"/>
          <w:sz w:val="22"/>
          <w:szCs w:val="22"/>
        </w:rPr>
      </w:pPr>
      <w:r>
        <w:rPr>
          <w:rFonts w:ascii="Calibri" w:hAnsi="Calibri"/>
          <w:sz w:val="22"/>
          <w:szCs w:val="22"/>
        </w:rPr>
        <w:t xml:space="preserve">The Capital Planning &amp; Project procedures are to be used for all major projects in the University including capital and long-term maintenance projects within the University of Exeter which will require appropriate approval to proceed.  Therefore, all projects involving new build, refurbishment or other building, grounds or estate related work and equipment, irrespective of the funding source, </w:t>
      </w:r>
      <w:r w:rsidR="00A030A1">
        <w:rPr>
          <w:rFonts w:ascii="Calibri" w:hAnsi="Calibri"/>
          <w:color w:val="7030A0"/>
          <w:sz w:val="22"/>
          <w:szCs w:val="22"/>
        </w:rPr>
        <w:t>must</w:t>
      </w:r>
      <w:r>
        <w:rPr>
          <w:rFonts w:ascii="Calibri" w:hAnsi="Calibri"/>
          <w:sz w:val="22"/>
          <w:szCs w:val="22"/>
        </w:rPr>
        <w:t xml:space="preserve"> follow these procedures. </w:t>
      </w:r>
    </w:p>
    <w:p w:rsidR="00460C16" w:rsidRDefault="00460C16" w:rsidP="00E117B2">
      <w:pPr>
        <w:pStyle w:val="BodyTextIndent"/>
        <w:jc w:val="both"/>
        <w:rPr>
          <w:rFonts w:ascii="Calibri" w:hAnsi="Calibri"/>
          <w:sz w:val="22"/>
          <w:szCs w:val="22"/>
        </w:rPr>
      </w:pPr>
    </w:p>
    <w:p w:rsidR="00E117B2" w:rsidRDefault="00E117B2" w:rsidP="00E117B2">
      <w:pPr>
        <w:pStyle w:val="BodyTextIndent"/>
        <w:ind w:left="0"/>
        <w:jc w:val="both"/>
        <w:rPr>
          <w:rFonts w:ascii="Calibri" w:hAnsi="Calibri"/>
          <w:sz w:val="22"/>
          <w:szCs w:val="22"/>
        </w:rPr>
      </w:pPr>
      <w:r>
        <w:rPr>
          <w:rFonts w:ascii="Calibri" w:hAnsi="Calibri"/>
          <w:sz w:val="22"/>
          <w:szCs w:val="22"/>
        </w:rPr>
        <w:t>These procedures will therefore specifically include:</w:t>
      </w:r>
    </w:p>
    <w:p w:rsidR="00E117B2" w:rsidRDefault="00E117B2" w:rsidP="00E117B2">
      <w:pPr>
        <w:pStyle w:val="BodyTextIndent"/>
        <w:jc w:val="both"/>
        <w:rPr>
          <w:rFonts w:ascii="Calibri" w:hAnsi="Calibri"/>
          <w:sz w:val="22"/>
          <w:szCs w:val="22"/>
        </w:rPr>
      </w:pPr>
    </w:p>
    <w:p w:rsidR="00E117B2" w:rsidRDefault="00E117B2" w:rsidP="00E117B2">
      <w:pPr>
        <w:pStyle w:val="BodyTextIndent"/>
        <w:numPr>
          <w:ilvl w:val="0"/>
          <w:numId w:val="36"/>
        </w:numPr>
        <w:jc w:val="both"/>
        <w:rPr>
          <w:rFonts w:ascii="Calibri" w:hAnsi="Calibri"/>
          <w:sz w:val="22"/>
          <w:szCs w:val="22"/>
        </w:rPr>
      </w:pPr>
      <w:r>
        <w:rPr>
          <w:rFonts w:ascii="Calibri" w:hAnsi="Calibri"/>
          <w:sz w:val="22"/>
          <w:szCs w:val="22"/>
        </w:rPr>
        <w:t>New build or refurbishment activity</w:t>
      </w:r>
    </w:p>
    <w:p w:rsidR="00E117B2" w:rsidRDefault="00E117B2" w:rsidP="00E117B2">
      <w:pPr>
        <w:pStyle w:val="BodyTextIndent"/>
        <w:numPr>
          <w:ilvl w:val="0"/>
          <w:numId w:val="36"/>
        </w:numPr>
        <w:jc w:val="both"/>
        <w:rPr>
          <w:rFonts w:ascii="Calibri" w:hAnsi="Calibri"/>
          <w:sz w:val="22"/>
          <w:szCs w:val="22"/>
        </w:rPr>
      </w:pPr>
      <w:r>
        <w:rPr>
          <w:rFonts w:ascii="Calibri" w:hAnsi="Calibri"/>
          <w:sz w:val="22"/>
          <w:szCs w:val="22"/>
        </w:rPr>
        <w:t>New information systems or major upgrades to same</w:t>
      </w:r>
    </w:p>
    <w:p w:rsidR="00E117B2" w:rsidRDefault="00E117B2" w:rsidP="00E117B2">
      <w:pPr>
        <w:pStyle w:val="BodyTextIndent"/>
        <w:numPr>
          <w:ilvl w:val="0"/>
          <w:numId w:val="36"/>
        </w:numPr>
        <w:jc w:val="both"/>
        <w:rPr>
          <w:rFonts w:ascii="Calibri" w:hAnsi="Calibri"/>
          <w:sz w:val="22"/>
          <w:szCs w:val="22"/>
        </w:rPr>
      </w:pPr>
      <w:r>
        <w:rPr>
          <w:rFonts w:ascii="Calibri" w:hAnsi="Calibri"/>
          <w:sz w:val="22"/>
          <w:szCs w:val="22"/>
        </w:rPr>
        <w:t xml:space="preserve">Equipment purchases &gt;£25k (except </w:t>
      </w:r>
      <w:r>
        <w:rPr>
          <w:rFonts w:ascii="Calibri" w:hAnsi="Calibri"/>
          <w:b/>
          <w:bCs/>
          <w:sz w:val="22"/>
          <w:szCs w:val="22"/>
          <w:u w:val="single"/>
        </w:rPr>
        <w:t>wholly and externally</w:t>
      </w:r>
      <w:r>
        <w:rPr>
          <w:rFonts w:ascii="Calibri" w:hAnsi="Calibri"/>
          <w:sz w:val="22"/>
          <w:szCs w:val="22"/>
        </w:rPr>
        <w:t xml:space="preserve"> funded research equipment – see below)</w:t>
      </w:r>
    </w:p>
    <w:p w:rsidR="00E117B2" w:rsidRDefault="00E117B2" w:rsidP="00E117B2">
      <w:pPr>
        <w:pStyle w:val="BodyTextIndent"/>
        <w:numPr>
          <w:ilvl w:val="0"/>
          <w:numId w:val="36"/>
        </w:numPr>
        <w:jc w:val="both"/>
        <w:rPr>
          <w:rFonts w:ascii="Calibri" w:hAnsi="Calibri"/>
          <w:sz w:val="22"/>
          <w:szCs w:val="22"/>
        </w:rPr>
      </w:pPr>
      <w:r>
        <w:rPr>
          <w:rFonts w:ascii="Calibri" w:hAnsi="Calibri"/>
          <w:sz w:val="22"/>
          <w:szCs w:val="22"/>
        </w:rPr>
        <w:t>inance Leases for land, buildings and equipment with a PV exceeding £25kSubstantial works to the University’s grounds</w:t>
      </w:r>
    </w:p>
    <w:p w:rsidR="00E117B2" w:rsidRDefault="00E117B2" w:rsidP="00E117B2">
      <w:pPr>
        <w:pStyle w:val="BodyTextIndent"/>
        <w:numPr>
          <w:ilvl w:val="0"/>
          <w:numId w:val="36"/>
        </w:numPr>
        <w:jc w:val="both"/>
        <w:rPr>
          <w:rFonts w:ascii="Calibri" w:hAnsi="Calibri"/>
          <w:sz w:val="22"/>
          <w:szCs w:val="22"/>
        </w:rPr>
      </w:pPr>
      <w:r>
        <w:rPr>
          <w:rFonts w:ascii="Calibri" w:hAnsi="Calibri"/>
          <w:sz w:val="22"/>
          <w:szCs w:val="22"/>
        </w:rPr>
        <w:t>Backlog or long term maintenance as defined in the Estates Development Service (EDS) Service Level Agreement.</w:t>
      </w:r>
    </w:p>
    <w:p w:rsidR="00E117B2" w:rsidRDefault="00E117B2" w:rsidP="00E117B2">
      <w:pPr>
        <w:jc w:val="both"/>
      </w:pPr>
    </w:p>
    <w:p w:rsidR="00E117B2" w:rsidRDefault="00E117B2" w:rsidP="00E117B2">
      <w:pPr>
        <w:jc w:val="both"/>
      </w:pPr>
      <w:r>
        <w:t xml:space="preserve">In respect of equipment purchases for research or consultancy contracts, these procedures do not need to be followed where the purchase of the equipment is </w:t>
      </w:r>
      <w:r>
        <w:rPr>
          <w:b/>
          <w:bCs/>
        </w:rPr>
        <w:t>wholly</w:t>
      </w:r>
      <w:r>
        <w:t xml:space="preserve"> funded by an </w:t>
      </w:r>
      <w:r>
        <w:rPr>
          <w:b/>
          <w:bCs/>
        </w:rPr>
        <w:t>external</w:t>
      </w:r>
      <w:r>
        <w:t xml:space="preserve"> research grant. The exception to this rule is where the purchase of equipment requires significant new build, refurbishment or IT infrastructure development. The total gross value of the equipment and the associated additional works will determine the project value and therefore the authorisation limit. All research equipment purchases funded from internal sources, </w:t>
      </w:r>
      <w:r>
        <w:rPr>
          <w:b/>
          <w:bCs/>
        </w:rPr>
        <w:t xml:space="preserve">in full or in part, </w:t>
      </w:r>
      <w:r>
        <w:t>(for example, Science Strategy or RKT Strategy etc) are required to follow these capital procedures.</w:t>
      </w:r>
    </w:p>
    <w:p w:rsidR="00E117B2" w:rsidRDefault="00E117B2" w:rsidP="00E117B2">
      <w:pPr>
        <w:jc w:val="both"/>
      </w:pPr>
      <w:r>
        <w:t>The Capital Planning &amp; Project approval procedures will be reviewed periodically to take account of changes in requirements and ensure practicality of application. The approval document is broken down into four sections covering: Scope &amp; Definition (A) Planning (B); Project Appraisal and Authorisation (C); and Monitoring (D). The document set</w:t>
      </w:r>
      <w:r w:rsidR="00337509">
        <w:t>ting</w:t>
      </w:r>
      <w:r>
        <w:t xml:space="preserve"> out the procedures to be adopted in connection with the planning, appraisal, approval and monitoring of University Capital Investment Projects</w:t>
      </w:r>
      <w:r w:rsidR="00337509">
        <w:t xml:space="preserve"> can be found at </w:t>
      </w:r>
      <w:hyperlink r:id="rId15" w:history="1">
        <w:r w:rsidR="00337509" w:rsidRPr="002054D4">
          <w:rPr>
            <w:rStyle w:val="Hyperlink"/>
          </w:rPr>
          <w:t>http://www.exeter.ac.uk/finance/cpp/</w:t>
        </w:r>
      </w:hyperlink>
      <w:r>
        <w:t>.</w:t>
      </w:r>
    </w:p>
    <w:p w:rsidR="00D94B0D" w:rsidRDefault="00E117B2" w:rsidP="00B72527">
      <w:pPr>
        <w:pStyle w:val="Heading2"/>
      </w:pPr>
      <w:bookmarkStart w:id="66" w:name="_Toc384902715"/>
      <w:r>
        <w:t>C</w:t>
      </w:r>
      <w:r w:rsidR="00D94B0D" w:rsidRPr="00AE70E7">
        <w:t>apital ‘revenue’ expenditure</w:t>
      </w:r>
      <w:bookmarkEnd w:id="66"/>
    </w:p>
    <w:p w:rsidR="00127B86" w:rsidRDefault="00127B86" w:rsidP="00E117B2">
      <w:pPr>
        <w:spacing w:after="0"/>
      </w:pPr>
      <w:r>
        <w:t>The correct classification of planned expenditure into Capital or Revenue is key to the planning process.  The rules are quite complex</w:t>
      </w:r>
      <w:r w:rsidR="00247676">
        <w:t>, but in essence:</w:t>
      </w:r>
    </w:p>
    <w:p w:rsidR="00247676" w:rsidRDefault="00247676" w:rsidP="00E117B2">
      <w:pPr>
        <w:spacing w:after="0"/>
      </w:pPr>
      <w:r>
        <w:t>The spend is capital if:</w:t>
      </w:r>
    </w:p>
    <w:p w:rsidR="00247676" w:rsidRPr="00641C51" w:rsidRDefault="00247676" w:rsidP="00247676">
      <w:pPr>
        <w:pStyle w:val="ListParagraph"/>
        <w:numPr>
          <w:ilvl w:val="0"/>
          <w:numId w:val="40"/>
        </w:numPr>
        <w:spacing w:after="0"/>
        <w:rPr>
          <w:rFonts w:asciiTheme="minorHAnsi" w:hAnsiTheme="minorHAnsi"/>
          <w:sz w:val="22"/>
          <w:szCs w:val="22"/>
        </w:rPr>
      </w:pPr>
      <w:r w:rsidRPr="00641C51">
        <w:rPr>
          <w:rFonts w:asciiTheme="minorHAnsi" w:hAnsiTheme="minorHAnsi"/>
          <w:sz w:val="22"/>
          <w:szCs w:val="22"/>
        </w:rPr>
        <w:t>It is a new asset</w:t>
      </w:r>
    </w:p>
    <w:p w:rsidR="00247676" w:rsidRPr="00641C51" w:rsidRDefault="00247676" w:rsidP="00247676">
      <w:pPr>
        <w:pStyle w:val="ListParagraph"/>
        <w:numPr>
          <w:ilvl w:val="0"/>
          <w:numId w:val="40"/>
        </w:numPr>
        <w:spacing w:after="0"/>
        <w:rPr>
          <w:rFonts w:asciiTheme="minorHAnsi" w:hAnsiTheme="minorHAnsi"/>
          <w:sz w:val="22"/>
          <w:szCs w:val="22"/>
        </w:rPr>
      </w:pPr>
      <w:r w:rsidRPr="00641C51">
        <w:rPr>
          <w:rFonts w:asciiTheme="minorHAnsi" w:hAnsiTheme="minorHAnsi"/>
          <w:sz w:val="22"/>
          <w:szCs w:val="22"/>
        </w:rPr>
        <w:lastRenderedPageBreak/>
        <w:t>It is an enhancement to an existing asset which either:</w:t>
      </w:r>
    </w:p>
    <w:p w:rsidR="00247676" w:rsidRPr="00641C51" w:rsidRDefault="00247676" w:rsidP="00247676">
      <w:pPr>
        <w:pStyle w:val="ListParagraph"/>
        <w:numPr>
          <w:ilvl w:val="1"/>
          <w:numId w:val="40"/>
        </w:numPr>
        <w:spacing w:after="0"/>
        <w:rPr>
          <w:rFonts w:asciiTheme="minorHAnsi" w:hAnsiTheme="minorHAnsi"/>
          <w:sz w:val="22"/>
          <w:szCs w:val="22"/>
        </w:rPr>
      </w:pPr>
      <w:r w:rsidRPr="00641C51">
        <w:rPr>
          <w:rFonts w:asciiTheme="minorHAnsi" w:hAnsiTheme="minorHAnsi"/>
          <w:sz w:val="22"/>
          <w:szCs w:val="22"/>
        </w:rPr>
        <w:t>Substantially lengthens the remaining life of the asset, or</w:t>
      </w:r>
    </w:p>
    <w:p w:rsidR="00247676" w:rsidRPr="00641C51" w:rsidRDefault="00247676" w:rsidP="00247676">
      <w:pPr>
        <w:pStyle w:val="ListParagraph"/>
        <w:numPr>
          <w:ilvl w:val="1"/>
          <w:numId w:val="40"/>
        </w:numPr>
        <w:spacing w:after="0"/>
        <w:rPr>
          <w:rFonts w:asciiTheme="minorHAnsi" w:hAnsiTheme="minorHAnsi"/>
          <w:sz w:val="22"/>
          <w:szCs w:val="22"/>
        </w:rPr>
      </w:pPr>
      <w:r w:rsidRPr="00641C51">
        <w:rPr>
          <w:rFonts w:asciiTheme="minorHAnsi" w:hAnsiTheme="minorHAnsi"/>
          <w:sz w:val="22"/>
          <w:szCs w:val="22"/>
        </w:rPr>
        <w:t xml:space="preserve">Substantially increases the extent to which the asset </w:t>
      </w:r>
      <w:r w:rsidR="008A2DE3" w:rsidRPr="00A030A1">
        <w:rPr>
          <w:rFonts w:asciiTheme="minorHAnsi" w:hAnsiTheme="minorHAnsi"/>
          <w:sz w:val="22"/>
          <w:szCs w:val="22"/>
        </w:rPr>
        <w:t>can</w:t>
      </w:r>
      <w:r w:rsidRPr="00641C51">
        <w:rPr>
          <w:rFonts w:asciiTheme="minorHAnsi" w:hAnsiTheme="minorHAnsi"/>
          <w:sz w:val="22"/>
          <w:szCs w:val="22"/>
        </w:rPr>
        <w:t xml:space="preserve"> or will be used</w:t>
      </w:r>
    </w:p>
    <w:p w:rsidR="00247676" w:rsidRDefault="00247676" w:rsidP="00247676">
      <w:r>
        <w:t>Detailed g</w:t>
      </w:r>
      <w:r w:rsidR="00E117B2" w:rsidRPr="00E117B2">
        <w:t xml:space="preserve">uidance on what </w:t>
      </w:r>
      <w:r w:rsidR="008A2DE3" w:rsidRPr="00A030A1">
        <w:t>should</w:t>
      </w:r>
      <w:r w:rsidR="00E117B2" w:rsidRPr="00E117B2">
        <w:t xml:space="preserve"> be considered capital and what revenue </w:t>
      </w:r>
      <w:r w:rsidR="008A2DE3" w:rsidRPr="00A030A1">
        <w:t>can</w:t>
      </w:r>
      <w:r w:rsidR="00E117B2" w:rsidRPr="00E117B2">
        <w:t xml:space="preserve"> be </w:t>
      </w:r>
      <w:r>
        <w:t xml:space="preserve">obtained from </w:t>
      </w:r>
      <w:r w:rsidR="004126B4">
        <w:t>Caroline Muggridge</w:t>
      </w:r>
      <w:r>
        <w:t xml:space="preserve"> in Finance Services.</w:t>
      </w:r>
    </w:p>
    <w:p w:rsidR="00B3220A" w:rsidRDefault="00B3220A" w:rsidP="00B72527">
      <w:pPr>
        <w:pStyle w:val="Heading2"/>
      </w:pPr>
      <w:bookmarkStart w:id="67" w:name="_Toc384902716"/>
      <w:bookmarkStart w:id="68" w:name="_Ref348086268"/>
      <w:bookmarkStart w:id="69" w:name="_Ref348684700"/>
      <w:bookmarkEnd w:id="65"/>
      <w:r w:rsidRPr="00B3220A">
        <w:t>Finance v Operating leases</w:t>
      </w:r>
      <w:bookmarkEnd w:id="67"/>
    </w:p>
    <w:p w:rsidR="00685F16" w:rsidRDefault="00685F16" w:rsidP="00B3220A">
      <w:r>
        <w:t>A</w:t>
      </w:r>
      <w:r w:rsidRPr="00685F16">
        <w:t>ll lease agreements should be overseen by a member of the finance team to establish if it is a finance lease or an operating lease. This will then pose the question, do we have capital budget available for finance leases and a revenue budget available for operating leases and the interest element of finance leases</w:t>
      </w:r>
    </w:p>
    <w:p w:rsidR="00685F16" w:rsidRDefault="00685F16" w:rsidP="00B3220A">
      <w:r>
        <w:t xml:space="preserve">In general, </w:t>
      </w:r>
      <w:r w:rsidR="00620926">
        <w:t xml:space="preserve">leases </w:t>
      </w:r>
      <w:r>
        <w:t xml:space="preserve">will </w:t>
      </w:r>
      <w:r w:rsidR="00620926">
        <w:t xml:space="preserve">be made on an operating leases basis.   </w:t>
      </w:r>
    </w:p>
    <w:p w:rsidR="00B3220A" w:rsidRDefault="00620926" w:rsidP="00B3220A">
      <w:r>
        <w:t>Further g</w:t>
      </w:r>
      <w:r w:rsidR="00B3220A">
        <w:t xml:space="preserve">uidance </w:t>
      </w:r>
      <w:r w:rsidR="008A2DE3" w:rsidRPr="00A030A1">
        <w:t>can</w:t>
      </w:r>
      <w:r>
        <w:t xml:space="preserve"> be obtained from </w:t>
      </w:r>
      <w:r w:rsidR="004126B4">
        <w:t>Caroline Muggridge</w:t>
      </w:r>
      <w:r>
        <w:t xml:space="preserve"> in Finance Services</w:t>
      </w:r>
      <w:r w:rsidR="00127B86">
        <w:t>.</w:t>
      </w:r>
    </w:p>
    <w:p w:rsidR="00C45A77" w:rsidRPr="00AE70E7" w:rsidRDefault="00E97810" w:rsidP="00B72527">
      <w:pPr>
        <w:pStyle w:val="Heading2"/>
      </w:pPr>
      <w:bookmarkStart w:id="70" w:name="_Toc384902717"/>
      <w:r w:rsidRPr="00AE70E7">
        <w:t xml:space="preserve">Research </w:t>
      </w:r>
      <w:r w:rsidRPr="002F7CC5">
        <w:t>strategies</w:t>
      </w:r>
      <w:bookmarkEnd w:id="68"/>
      <w:bookmarkEnd w:id="69"/>
      <w:bookmarkEnd w:id="70"/>
      <w:r w:rsidRPr="00AE70E7">
        <w:t xml:space="preserve"> </w:t>
      </w:r>
    </w:p>
    <w:p w:rsidR="00E05AE3" w:rsidRPr="00E05AE3" w:rsidRDefault="00E97810" w:rsidP="00E05AE3">
      <w:pPr>
        <w:spacing w:line="240" w:lineRule="auto"/>
      </w:pPr>
      <w:r>
        <w:t>Science Strateg</w:t>
      </w:r>
      <w:r w:rsidR="00E05AE3" w:rsidRPr="00E05AE3">
        <w:t>y</w:t>
      </w:r>
      <w:r w:rsidR="00EE5BC6">
        <w:t xml:space="preserve"> (</w:t>
      </w:r>
      <w:hyperlink r:id="rId16" w:history="1">
        <w:r w:rsidR="00EE5BC6" w:rsidRPr="002054D4">
          <w:rPr>
            <w:rStyle w:val="Hyperlink"/>
          </w:rPr>
          <w:t>http://www.exeter.ac.uk/research/inspiring/keythemes/science/</w:t>
        </w:r>
      </w:hyperlink>
      <w:r w:rsidR="00EE5BC6">
        <w:t>)</w:t>
      </w:r>
    </w:p>
    <w:p w:rsidR="00E05AE3" w:rsidRPr="00E05AE3" w:rsidRDefault="001272C4" w:rsidP="00E05AE3">
      <w:pPr>
        <w:pStyle w:val="ListParagraph"/>
        <w:numPr>
          <w:ilvl w:val="0"/>
          <w:numId w:val="3"/>
        </w:numPr>
        <w:spacing w:before="0" w:beforeAutospacing="0" w:after="0" w:afterAutospacing="0"/>
        <w:rPr>
          <w:rFonts w:ascii="Calibri" w:eastAsia="Calibri" w:hAnsi="Calibri"/>
          <w:sz w:val="22"/>
          <w:szCs w:val="22"/>
          <w:lang w:eastAsia="en-US"/>
        </w:rPr>
      </w:pPr>
      <w:r>
        <w:rPr>
          <w:rFonts w:ascii="Calibri" w:eastAsia="Calibri" w:hAnsi="Calibri"/>
          <w:sz w:val="22"/>
          <w:szCs w:val="22"/>
          <w:lang w:eastAsia="en-US"/>
        </w:rPr>
        <w:t xml:space="preserve">Colleges </w:t>
      </w:r>
      <w:r w:rsidR="001A05AA">
        <w:rPr>
          <w:rFonts w:ascii="Calibri" w:eastAsia="Calibri" w:hAnsi="Calibri"/>
          <w:color w:val="7030A0"/>
          <w:sz w:val="22"/>
          <w:szCs w:val="22"/>
          <w:lang w:eastAsia="en-US"/>
        </w:rPr>
        <w:t>must</w:t>
      </w:r>
      <w:r>
        <w:rPr>
          <w:rFonts w:ascii="Calibri" w:eastAsia="Calibri" w:hAnsi="Calibri"/>
          <w:sz w:val="22"/>
          <w:szCs w:val="22"/>
          <w:lang w:eastAsia="en-US"/>
        </w:rPr>
        <w:t xml:space="preserve"> budget for the expenditure and the expected direct teaching and research grant income / earnings arising from the investment.</w:t>
      </w:r>
    </w:p>
    <w:p w:rsidR="00E05AE3" w:rsidRPr="00E05AE3" w:rsidRDefault="00E05AE3" w:rsidP="00E05AE3">
      <w:pPr>
        <w:pStyle w:val="ListParagraph"/>
        <w:numPr>
          <w:ilvl w:val="0"/>
          <w:numId w:val="3"/>
        </w:numPr>
        <w:spacing w:before="0" w:beforeAutospacing="0" w:after="0" w:afterAutospacing="0"/>
        <w:rPr>
          <w:rFonts w:ascii="Calibri" w:eastAsia="Calibri" w:hAnsi="Calibri"/>
          <w:sz w:val="22"/>
          <w:szCs w:val="22"/>
          <w:lang w:eastAsia="en-US"/>
        </w:rPr>
      </w:pPr>
      <w:r w:rsidRPr="00E05AE3">
        <w:rPr>
          <w:rFonts w:ascii="Calibri" w:eastAsia="Calibri" w:hAnsi="Calibri"/>
          <w:sz w:val="22"/>
          <w:szCs w:val="22"/>
          <w:lang w:eastAsia="en-US"/>
        </w:rPr>
        <w:t>No transfers</w:t>
      </w:r>
      <w:r w:rsidR="00387A70">
        <w:rPr>
          <w:rFonts w:ascii="Calibri" w:eastAsia="Calibri" w:hAnsi="Calibri"/>
          <w:sz w:val="22"/>
          <w:szCs w:val="22"/>
          <w:lang w:eastAsia="en-US"/>
        </w:rPr>
        <w:t xml:space="preserve"> of resource</w:t>
      </w:r>
      <w:r w:rsidRPr="00E05AE3">
        <w:rPr>
          <w:rFonts w:ascii="Calibri" w:eastAsia="Calibri" w:hAnsi="Calibri"/>
          <w:sz w:val="22"/>
          <w:szCs w:val="22"/>
          <w:lang w:eastAsia="en-US"/>
        </w:rPr>
        <w:t xml:space="preserve"> will take place – these </w:t>
      </w:r>
      <w:r w:rsidR="001A05AA">
        <w:rPr>
          <w:rFonts w:ascii="Calibri" w:eastAsia="Calibri" w:hAnsi="Calibri"/>
          <w:color w:val="7030A0"/>
          <w:sz w:val="22"/>
          <w:szCs w:val="22"/>
          <w:lang w:eastAsia="en-US"/>
        </w:rPr>
        <w:t>must</w:t>
      </w:r>
      <w:r w:rsidRPr="00E05AE3">
        <w:rPr>
          <w:rFonts w:ascii="Calibri" w:eastAsia="Calibri" w:hAnsi="Calibri"/>
          <w:sz w:val="22"/>
          <w:szCs w:val="22"/>
          <w:lang w:eastAsia="en-US"/>
        </w:rPr>
        <w:t xml:space="preserve"> be treated as approved </w:t>
      </w:r>
      <w:r w:rsidR="00C359AD">
        <w:rPr>
          <w:rFonts w:ascii="Calibri" w:eastAsia="Calibri" w:hAnsi="Calibri"/>
          <w:sz w:val="22"/>
          <w:szCs w:val="22"/>
          <w:lang w:eastAsia="en-US"/>
        </w:rPr>
        <w:t xml:space="preserve">changes to contribution levels. </w:t>
      </w:r>
      <w:r w:rsidR="001272C4">
        <w:rPr>
          <w:rFonts w:ascii="Calibri" w:eastAsia="Calibri" w:hAnsi="Calibri"/>
          <w:sz w:val="22"/>
          <w:szCs w:val="22"/>
          <w:lang w:eastAsia="en-US"/>
        </w:rPr>
        <w:t xml:space="preserve"> </w:t>
      </w:r>
    </w:p>
    <w:p w:rsidR="00387A70" w:rsidRDefault="00387A70" w:rsidP="00387A70">
      <w:pPr>
        <w:pStyle w:val="ListParagraph"/>
        <w:spacing w:before="0" w:beforeAutospacing="0" w:after="0" w:afterAutospacing="0"/>
        <w:ind w:left="720"/>
      </w:pPr>
    </w:p>
    <w:p w:rsidR="00E05AE3" w:rsidRPr="00E05AE3" w:rsidRDefault="00E05AE3" w:rsidP="00E05AE3">
      <w:r w:rsidRPr="00E05AE3">
        <w:t>HASS Strategy</w:t>
      </w:r>
      <w:r w:rsidR="00EE5BC6">
        <w:t xml:space="preserve"> (</w:t>
      </w:r>
      <w:hyperlink r:id="rId17" w:history="1">
        <w:r w:rsidR="00EE5BC6" w:rsidRPr="002054D4">
          <w:rPr>
            <w:rStyle w:val="Hyperlink"/>
          </w:rPr>
          <w:t>http://www.exeter.ac.uk/research/inspiring/keythemes/hass/</w:t>
        </w:r>
      </w:hyperlink>
      <w:r w:rsidR="00EE5BC6">
        <w:t>)</w:t>
      </w:r>
    </w:p>
    <w:p w:rsidR="007222B7" w:rsidRPr="00115128" w:rsidRDefault="00387A70" w:rsidP="007222B7">
      <w:pPr>
        <w:pStyle w:val="ListParagraph"/>
        <w:numPr>
          <w:ilvl w:val="0"/>
          <w:numId w:val="5"/>
        </w:numPr>
        <w:spacing w:before="0" w:beforeAutospacing="0" w:after="0" w:afterAutospacing="0"/>
        <w:rPr>
          <w:rFonts w:ascii="Calibri" w:eastAsia="Calibri" w:hAnsi="Calibri"/>
          <w:sz w:val="22"/>
          <w:szCs w:val="22"/>
          <w:lang w:eastAsia="en-US"/>
        </w:rPr>
      </w:pPr>
      <w:r w:rsidRPr="007222B7">
        <w:rPr>
          <w:rFonts w:ascii="Calibri" w:eastAsia="Calibri" w:hAnsi="Calibri"/>
          <w:sz w:val="22"/>
          <w:szCs w:val="22"/>
          <w:lang w:eastAsia="en-US"/>
        </w:rPr>
        <w:t xml:space="preserve">All costs and income for staff </w:t>
      </w:r>
      <w:r w:rsidR="001A05AA">
        <w:rPr>
          <w:rFonts w:ascii="Calibri" w:eastAsia="Calibri" w:hAnsi="Calibri"/>
          <w:color w:val="7030A0"/>
          <w:sz w:val="22"/>
          <w:szCs w:val="22"/>
          <w:lang w:eastAsia="en-US"/>
        </w:rPr>
        <w:t>must</w:t>
      </w:r>
      <w:r w:rsidR="007222B7" w:rsidRPr="00115128">
        <w:rPr>
          <w:rFonts w:ascii="Calibri" w:eastAsia="Calibri" w:hAnsi="Calibri"/>
          <w:sz w:val="22"/>
          <w:szCs w:val="22"/>
          <w:lang w:eastAsia="en-US"/>
        </w:rPr>
        <w:t xml:space="preserve"> be held within College plans. No transfer of resource will take place – these </w:t>
      </w:r>
      <w:r w:rsidR="001A05AA">
        <w:rPr>
          <w:rFonts w:ascii="Calibri" w:eastAsia="Calibri" w:hAnsi="Calibri"/>
          <w:color w:val="7030A0"/>
          <w:sz w:val="22"/>
          <w:szCs w:val="22"/>
          <w:lang w:eastAsia="en-US"/>
        </w:rPr>
        <w:t>must</w:t>
      </w:r>
      <w:r w:rsidR="007222B7" w:rsidRPr="00115128">
        <w:rPr>
          <w:rFonts w:ascii="Calibri" w:eastAsia="Calibri" w:hAnsi="Calibri"/>
          <w:sz w:val="22"/>
          <w:szCs w:val="22"/>
          <w:lang w:eastAsia="en-US"/>
        </w:rPr>
        <w:t xml:space="preserve"> be treated as approved changes to contribution levels. </w:t>
      </w:r>
    </w:p>
    <w:p w:rsidR="00E05AE3" w:rsidRPr="007222B7" w:rsidRDefault="00E05AE3" w:rsidP="00E05AE3">
      <w:pPr>
        <w:pStyle w:val="ListParagraph"/>
        <w:numPr>
          <w:ilvl w:val="0"/>
          <w:numId w:val="5"/>
        </w:numPr>
        <w:spacing w:before="0" w:beforeAutospacing="0" w:after="0" w:afterAutospacing="0"/>
        <w:rPr>
          <w:rFonts w:ascii="Calibri" w:eastAsia="Calibri" w:hAnsi="Calibri"/>
          <w:sz w:val="22"/>
          <w:szCs w:val="22"/>
          <w:lang w:eastAsia="en-US"/>
        </w:rPr>
      </w:pPr>
      <w:r w:rsidRPr="007222B7">
        <w:rPr>
          <w:rFonts w:ascii="Calibri" w:eastAsia="Calibri" w:hAnsi="Calibri"/>
          <w:sz w:val="22"/>
          <w:szCs w:val="22"/>
          <w:lang w:eastAsia="en-US"/>
        </w:rPr>
        <w:t xml:space="preserve">Discretionary budgets </w:t>
      </w:r>
      <w:r w:rsidR="008A2DE3" w:rsidRPr="008A2DE3">
        <w:rPr>
          <w:rFonts w:ascii="Calibri" w:eastAsia="Calibri" w:hAnsi="Calibri"/>
          <w:color w:val="7030A0"/>
          <w:sz w:val="22"/>
          <w:szCs w:val="22"/>
          <w:lang w:eastAsia="en-US"/>
        </w:rPr>
        <w:t>should</w:t>
      </w:r>
      <w:r w:rsidRPr="007222B7">
        <w:rPr>
          <w:rFonts w:ascii="Calibri" w:eastAsia="Calibri" w:hAnsi="Calibri"/>
          <w:sz w:val="22"/>
          <w:szCs w:val="22"/>
          <w:lang w:eastAsia="en-US"/>
        </w:rPr>
        <w:t xml:space="preserve"> be in College plans</w:t>
      </w:r>
      <w:r w:rsidR="00387A70" w:rsidRPr="007222B7">
        <w:rPr>
          <w:rFonts w:ascii="Calibri" w:eastAsia="Calibri" w:hAnsi="Calibri"/>
          <w:sz w:val="22"/>
          <w:szCs w:val="22"/>
          <w:lang w:eastAsia="en-US"/>
        </w:rPr>
        <w:t>;</w:t>
      </w:r>
    </w:p>
    <w:p w:rsidR="00E05AE3" w:rsidRPr="00E05AE3" w:rsidRDefault="00E05AE3" w:rsidP="00387A70">
      <w:pPr>
        <w:pStyle w:val="ListParagraph"/>
        <w:numPr>
          <w:ilvl w:val="0"/>
          <w:numId w:val="5"/>
        </w:numPr>
        <w:spacing w:before="0" w:beforeAutospacing="0" w:after="0" w:afterAutospacing="0"/>
        <w:ind w:left="714" w:hanging="357"/>
        <w:rPr>
          <w:rFonts w:ascii="Calibri" w:eastAsia="Calibri" w:hAnsi="Calibri"/>
          <w:sz w:val="22"/>
          <w:szCs w:val="22"/>
          <w:lang w:eastAsia="en-US"/>
        </w:rPr>
      </w:pPr>
      <w:r w:rsidRPr="00E05AE3">
        <w:rPr>
          <w:rFonts w:ascii="Calibri" w:eastAsia="Calibri" w:hAnsi="Calibri"/>
          <w:sz w:val="22"/>
          <w:szCs w:val="22"/>
          <w:lang w:eastAsia="en-US"/>
        </w:rPr>
        <w:t xml:space="preserve">Project development funds and events budget is </w:t>
      </w:r>
      <w:r w:rsidR="00C177C6">
        <w:rPr>
          <w:rFonts w:ascii="Calibri" w:eastAsia="Calibri" w:hAnsi="Calibri"/>
          <w:sz w:val="22"/>
          <w:szCs w:val="22"/>
          <w:lang w:eastAsia="en-US"/>
        </w:rPr>
        <w:t>with</w:t>
      </w:r>
      <w:r w:rsidRPr="00E05AE3">
        <w:rPr>
          <w:rFonts w:ascii="Calibri" w:eastAsia="Calibri" w:hAnsi="Calibri"/>
          <w:sz w:val="22"/>
          <w:szCs w:val="22"/>
          <w:lang w:eastAsia="en-US"/>
        </w:rPr>
        <w:t>in the RKT budget</w:t>
      </w:r>
      <w:r w:rsidR="00387A70">
        <w:rPr>
          <w:rFonts w:ascii="Calibri" w:eastAsia="Calibri" w:hAnsi="Calibri"/>
          <w:sz w:val="22"/>
          <w:szCs w:val="22"/>
          <w:lang w:eastAsia="en-US"/>
        </w:rPr>
        <w:t>.</w:t>
      </w:r>
    </w:p>
    <w:p w:rsidR="00387A70" w:rsidRDefault="00387A70" w:rsidP="00387A70">
      <w:pPr>
        <w:spacing w:after="0" w:line="240" w:lineRule="auto"/>
      </w:pPr>
    </w:p>
    <w:p w:rsidR="00ED5D99" w:rsidRPr="00E05AE3" w:rsidRDefault="00ED5D99" w:rsidP="00ED5D99">
      <w:r>
        <w:t>O</w:t>
      </w:r>
      <w:r w:rsidRPr="00E05AE3">
        <w:t>pen Innovation Fund</w:t>
      </w:r>
      <w:r w:rsidR="00EE5BC6">
        <w:t xml:space="preserve"> (</w:t>
      </w:r>
      <w:hyperlink r:id="rId18" w:history="1">
        <w:r w:rsidR="00EE5BC6" w:rsidRPr="002054D4">
          <w:rPr>
            <w:rStyle w:val="Hyperlink"/>
          </w:rPr>
          <w:t>http://www.exeter.ac.uk/research/toolkit/opportunities/internalopps/</w:t>
        </w:r>
      </w:hyperlink>
      <w:r w:rsidR="00EE5BC6">
        <w:t>)</w:t>
      </w:r>
    </w:p>
    <w:p w:rsidR="00ED5D99" w:rsidRDefault="00ED5D99" w:rsidP="00ED5D99">
      <w:pPr>
        <w:pStyle w:val="ListParagraph"/>
        <w:numPr>
          <w:ilvl w:val="0"/>
          <w:numId w:val="6"/>
        </w:numPr>
        <w:spacing w:before="0" w:beforeAutospacing="0" w:after="0" w:afterAutospacing="0"/>
        <w:rPr>
          <w:rFonts w:ascii="Calibri" w:eastAsia="Calibri" w:hAnsi="Calibri"/>
          <w:sz w:val="22"/>
          <w:szCs w:val="22"/>
          <w:lang w:eastAsia="en-US"/>
        </w:rPr>
      </w:pPr>
      <w:r w:rsidRPr="00E05AE3">
        <w:rPr>
          <w:rFonts w:ascii="Calibri" w:eastAsia="Calibri" w:hAnsi="Calibri"/>
          <w:sz w:val="22"/>
          <w:szCs w:val="22"/>
          <w:lang w:eastAsia="en-US"/>
        </w:rPr>
        <w:t xml:space="preserve">These </w:t>
      </w:r>
      <w:r w:rsidR="001A05AA">
        <w:rPr>
          <w:rFonts w:ascii="Calibri" w:eastAsia="Calibri" w:hAnsi="Calibri"/>
          <w:color w:val="7030A0"/>
          <w:sz w:val="22"/>
          <w:szCs w:val="22"/>
          <w:lang w:eastAsia="en-US"/>
        </w:rPr>
        <w:t>must</w:t>
      </w:r>
      <w:r w:rsidRPr="00E05AE3">
        <w:rPr>
          <w:rFonts w:ascii="Calibri" w:eastAsia="Calibri" w:hAnsi="Calibri"/>
          <w:sz w:val="22"/>
          <w:szCs w:val="22"/>
          <w:lang w:eastAsia="en-US"/>
        </w:rPr>
        <w:t xml:space="preserve"> only be included in College plans once an award and a transfer of resource from RKT to the relevant College is in place</w:t>
      </w:r>
      <w:r>
        <w:rPr>
          <w:rFonts w:ascii="Calibri" w:eastAsia="Calibri" w:hAnsi="Calibri"/>
          <w:sz w:val="22"/>
          <w:szCs w:val="22"/>
          <w:lang w:eastAsia="en-US"/>
        </w:rPr>
        <w:t xml:space="preserve">.  A transfer of resource will still occur regarding this fund to provide an audit of </w:t>
      </w:r>
      <w:r w:rsidR="00FC0896">
        <w:rPr>
          <w:rFonts w:ascii="Calibri" w:eastAsia="Calibri" w:hAnsi="Calibri"/>
          <w:sz w:val="22"/>
          <w:szCs w:val="22"/>
          <w:lang w:eastAsia="en-US"/>
        </w:rPr>
        <w:t xml:space="preserve">how this HEIF funded initiative is being </w:t>
      </w:r>
      <w:r>
        <w:rPr>
          <w:rFonts w:ascii="Calibri" w:eastAsia="Calibri" w:hAnsi="Calibri"/>
          <w:sz w:val="22"/>
          <w:szCs w:val="22"/>
          <w:lang w:eastAsia="en-US"/>
        </w:rPr>
        <w:t>spen</w:t>
      </w:r>
      <w:r w:rsidR="00FC0896">
        <w:rPr>
          <w:rFonts w:ascii="Calibri" w:eastAsia="Calibri" w:hAnsi="Calibri"/>
          <w:sz w:val="22"/>
          <w:szCs w:val="22"/>
          <w:lang w:eastAsia="en-US"/>
        </w:rPr>
        <w:t>t</w:t>
      </w:r>
      <w:r>
        <w:rPr>
          <w:rFonts w:ascii="Calibri" w:eastAsia="Calibri" w:hAnsi="Calibri"/>
          <w:sz w:val="22"/>
          <w:szCs w:val="22"/>
          <w:lang w:eastAsia="en-US"/>
        </w:rPr>
        <w:t>.</w:t>
      </w:r>
    </w:p>
    <w:p w:rsidR="00ED5D99" w:rsidRDefault="00ED5D99" w:rsidP="006A5B57">
      <w:pPr>
        <w:spacing w:after="0"/>
      </w:pPr>
    </w:p>
    <w:p w:rsidR="006A5B57" w:rsidRDefault="006A5B57" w:rsidP="006A5B57">
      <w:pPr>
        <w:spacing w:after="0"/>
      </w:pPr>
      <w:r>
        <w:t xml:space="preserve">Further clarification and information is available from </w:t>
      </w:r>
      <w:r w:rsidR="003D590A">
        <w:t>the RKT Finance Manager</w:t>
      </w:r>
      <w:r>
        <w:t>.</w:t>
      </w:r>
    </w:p>
    <w:p w:rsidR="00D94B0D" w:rsidRDefault="00D94B0D" w:rsidP="006A5B57">
      <w:pPr>
        <w:spacing w:after="0"/>
      </w:pPr>
    </w:p>
    <w:p w:rsidR="00D94B0D" w:rsidRDefault="00D94B0D" w:rsidP="00B72527">
      <w:pPr>
        <w:pStyle w:val="Heading2"/>
      </w:pPr>
      <w:bookmarkStart w:id="71" w:name="_Toc384902718"/>
      <w:r w:rsidRPr="00AE70E7">
        <w:t>RKT Investment Strategies</w:t>
      </w:r>
      <w:bookmarkEnd w:id="71"/>
    </w:p>
    <w:p w:rsidR="00CE4006" w:rsidRPr="00E05AE3" w:rsidRDefault="00CE4006" w:rsidP="00CE4006">
      <w:pPr>
        <w:spacing w:before="120"/>
      </w:pPr>
      <w:r w:rsidRPr="00E05AE3">
        <w:t>RKT Investment Strategy</w:t>
      </w:r>
    </w:p>
    <w:p w:rsidR="00CE4006" w:rsidRPr="00387A70" w:rsidRDefault="00CE4006" w:rsidP="00CE4006">
      <w:pPr>
        <w:pStyle w:val="ListParagraph"/>
        <w:numPr>
          <w:ilvl w:val="0"/>
          <w:numId w:val="4"/>
        </w:numPr>
        <w:spacing w:before="0" w:beforeAutospacing="0" w:after="0" w:afterAutospacing="0"/>
        <w:rPr>
          <w:rFonts w:ascii="Calibri" w:eastAsia="Calibri" w:hAnsi="Calibri"/>
          <w:sz w:val="22"/>
          <w:szCs w:val="22"/>
          <w:lang w:eastAsia="en-US"/>
        </w:rPr>
      </w:pPr>
      <w:r w:rsidRPr="00387A70">
        <w:rPr>
          <w:rFonts w:ascii="Calibri" w:eastAsia="Calibri" w:hAnsi="Calibri"/>
          <w:sz w:val="22"/>
          <w:szCs w:val="22"/>
          <w:lang w:eastAsia="en-US"/>
        </w:rPr>
        <w:t xml:space="preserve">All costs </w:t>
      </w:r>
      <w:r w:rsidR="008A2DE3" w:rsidRPr="008A2DE3">
        <w:rPr>
          <w:rFonts w:ascii="Calibri" w:eastAsia="Calibri" w:hAnsi="Calibri"/>
          <w:color w:val="7030A0"/>
          <w:sz w:val="22"/>
          <w:szCs w:val="22"/>
          <w:lang w:eastAsia="en-US"/>
        </w:rPr>
        <w:t>should</w:t>
      </w:r>
      <w:r w:rsidRPr="00387A70">
        <w:rPr>
          <w:rFonts w:ascii="Calibri" w:eastAsia="Calibri" w:hAnsi="Calibri"/>
          <w:sz w:val="22"/>
          <w:szCs w:val="22"/>
          <w:lang w:eastAsia="en-US"/>
        </w:rPr>
        <w:t xml:space="preserve"> be in College </w:t>
      </w:r>
      <w:r>
        <w:rPr>
          <w:rFonts w:ascii="Calibri" w:eastAsia="Calibri" w:hAnsi="Calibri"/>
          <w:sz w:val="22"/>
          <w:szCs w:val="22"/>
          <w:lang w:eastAsia="en-US"/>
        </w:rPr>
        <w:t>business plans</w:t>
      </w:r>
    </w:p>
    <w:p w:rsidR="00CE4006" w:rsidRPr="00CE4006" w:rsidRDefault="00CE4006" w:rsidP="00CE4006">
      <w:pPr>
        <w:pStyle w:val="ListParagraph"/>
        <w:numPr>
          <w:ilvl w:val="0"/>
          <w:numId w:val="4"/>
        </w:numPr>
        <w:spacing w:before="0" w:beforeAutospacing="0" w:after="0" w:afterAutospacing="0"/>
        <w:rPr>
          <w:rFonts w:ascii="Calibri" w:eastAsia="Calibri" w:hAnsi="Calibri"/>
          <w:sz w:val="22"/>
          <w:szCs w:val="22"/>
          <w:lang w:eastAsia="en-US"/>
        </w:rPr>
      </w:pPr>
      <w:r w:rsidRPr="00E05AE3">
        <w:rPr>
          <w:rFonts w:ascii="Calibri" w:eastAsia="Calibri" w:hAnsi="Calibri"/>
          <w:sz w:val="22"/>
          <w:szCs w:val="22"/>
          <w:lang w:eastAsia="en-US"/>
        </w:rPr>
        <w:t>No transfers</w:t>
      </w:r>
      <w:r>
        <w:rPr>
          <w:rFonts w:ascii="Calibri" w:eastAsia="Calibri" w:hAnsi="Calibri"/>
          <w:sz w:val="22"/>
          <w:szCs w:val="22"/>
          <w:lang w:eastAsia="en-US"/>
        </w:rPr>
        <w:t xml:space="preserve"> of resource</w:t>
      </w:r>
      <w:r w:rsidRPr="00E05AE3">
        <w:rPr>
          <w:rFonts w:ascii="Calibri" w:eastAsia="Calibri" w:hAnsi="Calibri"/>
          <w:sz w:val="22"/>
          <w:szCs w:val="22"/>
          <w:lang w:eastAsia="en-US"/>
        </w:rPr>
        <w:t xml:space="preserve"> will take place – these </w:t>
      </w:r>
      <w:r w:rsidR="001A05AA">
        <w:rPr>
          <w:rFonts w:ascii="Calibri" w:eastAsia="Calibri" w:hAnsi="Calibri"/>
          <w:color w:val="7030A0"/>
          <w:sz w:val="22"/>
          <w:szCs w:val="22"/>
          <w:lang w:eastAsia="en-US"/>
        </w:rPr>
        <w:t>must</w:t>
      </w:r>
      <w:r w:rsidRPr="00E05AE3">
        <w:rPr>
          <w:rFonts w:ascii="Calibri" w:eastAsia="Calibri" w:hAnsi="Calibri"/>
          <w:sz w:val="22"/>
          <w:szCs w:val="22"/>
          <w:lang w:eastAsia="en-US"/>
        </w:rPr>
        <w:t xml:space="preserve"> be treated as approved </w:t>
      </w:r>
      <w:r>
        <w:rPr>
          <w:rFonts w:ascii="Calibri" w:eastAsia="Calibri" w:hAnsi="Calibri"/>
          <w:sz w:val="22"/>
          <w:szCs w:val="22"/>
          <w:lang w:eastAsia="en-US"/>
        </w:rPr>
        <w:t xml:space="preserve">changes to contribution levels.  </w:t>
      </w:r>
    </w:p>
    <w:p w:rsidR="00CE4006" w:rsidRPr="00AE70E7" w:rsidRDefault="00CE4006" w:rsidP="00CE4006">
      <w:pPr>
        <w:spacing w:after="0"/>
        <w:ind w:left="360"/>
        <w:rPr>
          <w:b/>
          <w:color w:val="548DD4"/>
          <w:sz w:val="26"/>
          <w:szCs w:val="26"/>
        </w:rPr>
      </w:pPr>
    </w:p>
    <w:p w:rsidR="00D94B0D" w:rsidRDefault="00D94B0D" w:rsidP="00B72527">
      <w:pPr>
        <w:pStyle w:val="Heading2"/>
      </w:pPr>
      <w:bookmarkStart w:id="72" w:name="_Toc384902719"/>
      <w:r w:rsidRPr="00AE70E7">
        <w:lastRenderedPageBreak/>
        <w:t>New programmes/course pricing and costing</w:t>
      </w:r>
      <w:bookmarkEnd w:id="72"/>
    </w:p>
    <w:p w:rsidR="007807F4" w:rsidRDefault="00115128" w:rsidP="007807F4">
      <w:pPr>
        <w:spacing w:after="0"/>
      </w:pPr>
      <w:r w:rsidRPr="00115128">
        <w:t>Templates</w:t>
      </w:r>
      <w:r w:rsidR="00F835E5">
        <w:t xml:space="preserve"> have been </w:t>
      </w:r>
      <w:r w:rsidRPr="00115128">
        <w:t>devised to support th</w:t>
      </w:r>
      <w:r w:rsidR="00F835E5">
        <w:t>e</w:t>
      </w:r>
      <w:r w:rsidRPr="00115128">
        <w:t>s</w:t>
      </w:r>
      <w:r w:rsidR="00F835E5">
        <w:t>e</w:t>
      </w:r>
      <w:r w:rsidRPr="00115128">
        <w:t xml:space="preserve">.  They are currently being tested, and </w:t>
      </w:r>
      <w:r w:rsidR="008A2DE3" w:rsidRPr="001A05AA">
        <w:t>can</w:t>
      </w:r>
      <w:r w:rsidRPr="00115128">
        <w:t xml:space="preserve"> be obtained from Julia</w:t>
      </w:r>
      <w:r w:rsidR="006B6D08">
        <w:t xml:space="preserve"> Hastings in the Strategic Costing team.</w:t>
      </w:r>
      <w:r w:rsidR="002012C0">
        <w:t xml:space="preserve"> </w:t>
      </w:r>
    </w:p>
    <w:p w:rsidR="007807F4" w:rsidRDefault="007807F4" w:rsidP="007807F4">
      <w:pPr>
        <w:spacing w:after="0"/>
      </w:pPr>
    </w:p>
    <w:p w:rsidR="006D1D53" w:rsidRPr="001A05AA" w:rsidRDefault="006D1D53" w:rsidP="007807F4">
      <w:pPr>
        <w:spacing w:after="0"/>
      </w:pPr>
      <w:r w:rsidRPr="007807F4">
        <w:rPr>
          <w:bCs/>
        </w:rPr>
        <w:t xml:space="preserve">These templates </w:t>
      </w:r>
      <w:r w:rsidRPr="001A05AA">
        <w:rPr>
          <w:bCs/>
        </w:rPr>
        <w:t xml:space="preserve">are for the costing of teaching provision.  They </w:t>
      </w:r>
      <w:r w:rsidR="008A2DE3" w:rsidRPr="001A05AA">
        <w:rPr>
          <w:bCs/>
        </w:rPr>
        <w:t>can</w:t>
      </w:r>
      <w:r w:rsidRPr="001A05AA">
        <w:rPr>
          <w:bCs/>
        </w:rPr>
        <w:t xml:space="preserve"> be used for individual modules or full programmes, and </w:t>
      </w:r>
      <w:r w:rsidR="008A2DE3" w:rsidRPr="001A05AA">
        <w:rPr>
          <w:bCs/>
        </w:rPr>
        <w:t>can</w:t>
      </w:r>
      <w:r w:rsidRPr="001A05AA">
        <w:rPr>
          <w:bCs/>
        </w:rPr>
        <w:t xml:space="preserve"> produce both marginal and fully costed scenarios depending on the parameters chosen.  Advice and assistance on their use and on costing other (non-teaching) activities </w:t>
      </w:r>
      <w:r w:rsidR="008A2DE3" w:rsidRPr="001A05AA">
        <w:rPr>
          <w:bCs/>
        </w:rPr>
        <w:t>can</w:t>
      </w:r>
      <w:r w:rsidRPr="001A05AA">
        <w:rPr>
          <w:bCs/>
        </w:rPr>
        <w:t xml:space="preserve"> be sought from the </w:t>
      </w:r>
      <w:r w:rsidR="00E4227E">
        <w:t xml:space="preserve">Strategic </w:t>
      </w:r>
      <w:r w:rsidRPr="001A05AA">
        <w:rPr>
          <w:bCs/>
        </w:rPr>
        <w:t>Costing Team in Finance Services.</w:t>
      </w:r>
    </w:p>
    <w:p w:rsidR="00D94B0D" w:rsidRDefault="00D94B0D" w:rsidP="00B72527">
      <w:pPr>
        <w:pStyle w:val="Heading2"/>
      </w:pPr>
      <w:bookmarkStart w:id="73" w:name="_Toc384902720"/>
      <w:r w:rsidRPr="00AE70E7">
        <w:t>Bids</w:t>
      </w:r>
      <w:r w:rsidR="00346B3A">
        <w:t xml:space="preserve"> (External)</w:t>
      </w:r>
      <w:bookmarkEnd w:id="73"/>
    </w:p>
    <w:p w:rsidR="009D31E3" w:rsidRPr="00E117B2" w:rsidRDefault="009D31E3" w:rsidP="00B27BA4">
      <w:pPr>
        <w:contextualSpacing/>
        <w:jc w:val="both"/>
        <w:rPr>
          <w:rFonts w:cs="Arial"/>
          <w:color w:val="000000"/>
        </w:rPr>
      </w:pPr>
      <w:r w:rsidRPr="00E117B2">
        <w:rPr>
          <w:rFonts w:cs="Arial"/>
          <w:color w:val="000000"/>
        </w:rPr>
        <w:t xml:space="preserve">All bid submissions and contracts </w:t>
      </w:r>
      <w:r w:rsidR="001A05AA">
        <w:rPr>
          <w:rFonts w:cs="Arial"/>
          <w:color w:val="7030A0"/>
        </w:rPr>
        <w:t>must</w:t>
      </w:r>
      <w:r w:rsidRPr="00E117B2">
        <w:rPr>
          <w:rFonts w:cs="Arial"/>
          <w:color w:val="000000"/>
        </w:rPr>
        <w:t xml:space="preserve"> be signed off by the College (Professional Service) Executive team following a financial review by Finance Services, before being submitted.  This will ensure commitments in terms of space, staffing etc are understood and </w:t>
      </w:r>
      <w:r w:rsidR="008A2DE3" w:rsidRPr="001A05AA">
        <w:rPr>
          <w:rFonts w:cs="Arial"/>
        </w:rPr>
        <w:t>can</w:t>
      </w:r>
      <w:r w:rsidRPr="00E117B2">
        <w:rPr>
          <w:rFonts w:cs="Arial"/>
          <w:color w:val="000000"/>
        </w:rPr>
        <w:t xml:space="preserve"> be met.  It is also important that future contracts bring in the right contribution.  Overall, the College, Professional Service</w:t>
      </w:r>
      <w:r w:rsidR="007807F4">
        <w:rPr>
          <w:rFonts w:cs="Arial"/>
          <w:color w:val="000000"/>
        </w:rPr>
        <w:t>s</w:t>
      </w:r>
      <w:r w:rsidRPr="00E117B2">
        <w:rPr>
          <w:rFonts w:cs="Arial"/>
          <w:color w:val="000000"/>
        </w:rPr>
        <w:t xml:space="preserve"> &amp; University need to be assured that the correct strategy is being followed. </w:t>
      </w:r>
    </w:p>
    <w:p w:rsidR="009D31E3" w:rsidRPr="00E117B2" w:rsidRDefault="009D31E3" w:rsidP="00B27BA4">
      <w:pPr>
        <w:pStyle w:val="NoSpacing1"/>
      </w:pPr>
      <w:r w:rsidRPr="00E117B2">
        <w:t xml:space="preserve">An agreed overhead rate </w:t>
      </w:r>
      <w:r w:rsidR="008A2DE3" w:rsidRPr="008A2DE3">
        <w:rPr>
          <w:color w:val="7030A0"/>
        </w:rPr>
        <w:t>should</w:t>
      </w:r>
      <w:r w:rsidR="00B27BA4" w:rsidRPr="00E117B2">
        <w:t xml:space="preserve"> </w:t>
      </w:r>
      <w:r w:rsidRPr="00E117B2">
        <w:t>be used for financial modeling purposes taking into consideration sensitivities around market pricing. In order to compete effectively for contracts, the University needs to ensure it is covering its cost base and also making an agreed contribution, unless there is a clear strategic reason for not doing so.</w:t>
      </w:r>
    </w:p>
    <w:p w:rsidR="00B27BA4" w:rsidRPr="00E117B2" w:rsidRDefault="00B27BA4" w:rsidP="00B27BA4">
      <w:pPr>
        <w:pStyle w:val="NoSpacing1"/>
      </w:pPr>
    </w:p>
    <w:p w:rsidR="00B27BA4" w:rsidRPr="00E117B2" w:rsidRDefault="00B27BA4" w:rsidP="00B27BA4">
      <w:pPr>
        <w:pStyle w:val="NoSpacing1"/>
      </w:pPr>
      <w:r w:rsidRPr="00E117B2">
        <w:t xml:space="preserve">It is recommended that advice is sought from the Strategic Costing </w:t>
      </w:r>
      <w:r w:rsidRPr="001A05AA">
        <w:t xml:space="preserve">team who </w:t>
      </w:r>
      <w:r w:rsidR="008A2DE3" w:rsidRPr="001A05AA">
        <w:t>can</w:t>
      </w:r>
      <w:r w:rsidRPr="001A05AA">
        <w:t xml:space="preserve"> advise each College individually, and </w:t>
      </w:r>
      <w:r w:rsidR="008A2DE3" w:rsidRPr="001A05AA">
        <w:t>can</w:t>
      </w:r>
      <w:r w:rsidRPr="001A05AA">
        <w:t xml:space="preserve"> provide standard teaching costing rates and parameters</w:t>
      </w:r>
      <w:r w:rsidRPr="00E117B2">
        <w:t>.</w:t>
      </w:r>
    </w:p>
    <w:p w:rsidR="00B27BA4" w:rsidRPr="00E117B2" w:rsidRDefault="00B27BA4" w:rsidP="00B27BA4">
      <w:pPr>
        <w:pStyle w:val="NoSpacing1"/>
      </w:pPr>
    </w:p>
    <w:p w:rsidR="00E2649C" w:rsidRDefault="00B27BA4" w:rsidP="00B27BA4">
      <w:pPr>
        <w:rPr>
          <w:rStyle w:val="Hyperlink"/>
        </w:rPr>
      </w:pPr>
      <w:r w:rsidRPr="00E117B2">
        <w:t xml:space="preserve">The current Financial Regulations on ‘Other Income generating </w:t>
      </w:r>
      <w:r w:rsidRPr="001A05AA">
        <w:t xml:space="preserve">activity’ </w:t>
      </w:r>
      <w:r w:rsidR="001A05AA" w:rsidRPr="001A05AA">
        <w:t>are</w:t>
      </w:r>
      <w:r w:rsidRPr="001A05AA">
        <w:t xml:space="preserve"> h</w:t>
      </w:r>
      <w:r w:rsidRPr="00E117B2">
        <w:t xml:space="preserve">ere: </w:t>
      </w:r>
      <w:hyperlink r:id="rId19" w:history="1">
        <w:r w:rsidR="00E2649C" w:rsidRPr="00E117B2">
          <w:rPr>
            <w:rStyle w:val="Hyperlink"/>
          </w:rPr>
          <w:t>http://www.exeter.ac.uk/finance/policies/regulations/income/other/</w:t>
        </w:r>
      </w:hyperlink>
    </w:p>
    <w:p w:rsidR="00E2649C" w:rsidRDefault="00E2649C" w:rsidP="00B27BA4">
      <w:r>
        <w:t xml:space="preserve">In particular they state that </w:t>
      </w:r>
      <w:r w:rsidRPr="00E2649C">
        <w:t xml:space="preserve">income-generating activities </w:t>
      </w:r>
      <w:r w:rsidRPr="00121BCD">
        <w:rPr>
          <w:b/>
          <w:color w:val="7030A0"/>
        </w:rPr>
        <w:t>must</w:t>
      </w:r>
      <w:r>
        <w:t xml:space="preserve"> be </w:t>
      </w:r>
      <w:r w:rsidRPr="00121BCD">
        <w:rPr>
          <w:i/>
        </w:rPr>
        <w:t>costed and agreed with the Chief Financial Officer before any commitments are made.</w:t>
      </w:r>
    </w:p>
    <w:p w:rsidR="00D94B0D" w:rsidRPr="00AE70E7" w:rsidRDefault="00D94B0D">
      <w:pPr>
        <w:pStyle w:val="Heading2"/>
      </w:pPr>
      <w:bookmarkStart w:id="74" w:name="_Toc384902721"/>
      <w:r w:rsidRPr="00AE70E7">
        <w:t>Professional Development Accounts (PDAs)</w:t>
      </w:r>
      <w:bookmarkEnd w:id="74"/>
    </w:p>
    <w:p w:rsidR="00D94B0D" w:rsidRDefault="00D94B0D" w:rsidP="00D94B0D">
      <w:pPr>
        <w:spacing w:after="0"/>
      </w:pPr>
    </w:p>
    <w:p w:rsidR="00825AD2" w:rsidRDefault="00825AD2" w:rsidP="00FB140D">
      <w:r w:rsidRPr="00825AD2">
        <w:t xml:space="preserve">Both external income and expenditure relating to PDAs </w:t>
      </w:r>
      <w:r w:rsidR="008A2DE3" w:rsidRPr="008A2DE3">
        <w:rPr>
          <w:color w:val="7030A0"/>
        </w:rPr>
        <w:t>must</w:t>
      </w:r>
      <w:r w:rsidRPr="00825AD2">
        <w:t xml:space="preserve"> be budgeted on</w:t>
      </w:r>
      <w:r w:rsidR="00B82C68">
        <w:t xml:space="preserve"> the relevant SUBJ1 cost line.  Activity within the PDA must have activity code 2 (ACT2) coded to A450.</w:t>
      </w:r>
    </w:p>
    <w:p w:rsidR="00FB140D" w:rsidRPr="00B938F3" w:rsidRDefault="00FB140D" w:rsidP="00FB140D">
      <w:r>
        <w:t xml:space="preserve">Transfers into PDAs </w:t>
      </w:r>
      <w:r w:rsidR="008A2DE3" w:rsidRPr="008A2DE3">
        <w:rPr>
          <w:color w:val="7030A0"/>
        </w:rPr>
        <w:t>must</w:t>
      </w:r>
      <w:r>
        <w:t xml:space="preserve"> not be budgeted.</w:t>
      </w:r>
    </w:p>
    <w:p w:rsidR="00D94B0D" w:rsidRDefault="00D94B0D" w:rsidP="002F7CC5">
      <w:pPr>
        <w:pStyle w:val="Heading1"/>
      </w:pPr>
      <w:bookmarkStart w:id="75" w:name="_Toc384902722"/>
      <w:r w:rsidRPr="00AE70E7">
        <w:t>Outputs/Reports</w:t>
      </w:r>
      <w:bookmarkEnd w:id="75"/>
    </w:p>
    <w:p w:rsidR="00240376" w:rsidRPr="00E117B2" w:rsidRDefault="0001557C" w:rsidP="00B72527">
      <w:pPr>
        <w:pStyle w:val="Heading2"/>
      </w:pPr>
      <w:bookmarkStart w:id="76" w:name="_Toc384902723"/>
      <w:r w:rsidRPr="00E117B2">
        <w:t xml:space="preserve">Negatives, </w:t>
      </w:r>
      <w:r w:rsidR="00240376" w:rsidRPr="00E117B2">
        <w:t>Brackets</w:t>
      </w:r>
      <w:r w:rsidRPr="00E117B2">
        <w:t xml:space="preserve"> and Accounting Sense</w:t>
      </w:r>
      <w:bookmarkEnd w:id="76"/>
    </w:p>
    <w:p w:rsidR="00240376" w:rsidRPr="00E117B2" w:rsidRDefault="00B022FF" w:rsidP="00240376">
      <w:r w:rsidRPr="00E117B2">
        <w:t>In reports</w:t>
      </w:r>
      <w:r w:rsidR="00E26298">
        <w:t xml:space="preserve"> that are circulated to non-accounting staff</w:t>
      </w:r>
      <w:r w:rsidRPr="00E117B2">
        <w:t xml:space="preserve">, the use of negative or adverse figures </w:t>
      </w:r>
      <w:r w:rsidR="008A2DE3" w:rsidRPr="008A2DE3">
        <w:rPr>
          <w:color w:val="7030A0"/>
        </w:rPr>
        <w:t>should</w:t>
      </w:r>
      <w:r w:rsidRPr="00E117B2">
        <w:t xml:space="preserve"> follow the following guidelines:</w:t>
      </w:r>
    </w:p>
    <w:p w:rsidR="004403A4" w:rsidRPr="00020A48" w:rsidRDefault="00DF4FCB"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 xml:space="preserve">Figures </w:t>
      </w:r>
      <w:r w:rsidR="008A2DE3" w:rsidRPr="008A2DE3">
        <w:rPr>
          <w:rFonts w:asciiTheme="minorHAnsi" w:hAnsiTheme="minorHAnsi"/>
          <w:color w:val="7030A0"/>
          <w:sz w:val="22"/>
          <w:szCs w:val="22"/>
        </w:rPr>
        <w:t>should</w:t>
      </w:r>
      <w:r w:rsidRPr="00020A48">
        <w:rPr>
          <w:rFonts w:asciiTheme="minorHAnsi" w:hAnsiTheme="minorHAnsi"/>
          <w:sz w:val="22"/>
          <w:szCs w:val="22"/>
        </w:rPr>
        <w:t xml:space="preserve"> be shown with positive (i.e. no brackets) representing their normal or default sense, so that</w:t>
      </w:r>
    </w:p>
    <w:p w:rsidR="004403A4" w:rsidRPr="00020A48" w:rsidRDefault="00DF4FCB"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 xml:space="preserve">Income </w:t>
      </w:r>
    </w:p>
    <w:p w:rsidR="00DF4FCB" w:rsidRPr="00020A48" w:rsidRDefault="004403A4" w:rsidP="004403A4">
      <w:pPr>
        <w:pStyle w:val="ListParagraph"/>
        <w:numPr>
          <w:ilvl w:val="1"/>
          <w:numId w:val="33"/>
        </w:numPr>
        <w:rPr>
          <w:rFonts w:asciiTheme="minorHAnsi" w:hAnsiTheme="minorHAnsi"/>
          <w:sz w:val="22"/>
          <w:szCs w:val="22"/>
        </w:rPr>
      </w:pPr>
      <w:r w:rsidRPr="00020A48">
        <w:rPr>
          <w:rFonts w:asciiTheme="minorHAnsi" w:hAnsiTheme="minorHAnsi"/>
          <w:sz w:val="22"/>
          <w:szCs w:val="22"/>
        </w:rPr>
        <w:lastRenderedPageBreak/>
        <w:t>Income t</w:t>
      </w:r>
      <w:r w:rsidR="00DF4FCB" w:rsidRPr="00020A48">
        <w:rPr>
          <w:rFonts w:asciiTheme="minorHAnsi" w:hAnsiTheme="minorHAnsi"/>
          <w:sz w:val="22"/>
          <w:szCs w:val="22"/>
        </w:rPr>
        <w:t xml:space="preserve">ype items </w:t>
      </w:r>
      <w:r w:rsidR="008A2DE3" w:rsidRPr="008A2DE3">
        <w:rPr>
          <w:rFonts w:asciiTheme="minorHAnsi" w:hAnsiTheme="minorHAnsi"/>
          <w:color w:val="7030A0"/>
          <w:sz w:val="22"/>
          <w:szCs w:val="22"/>
        </w:rPr>
        <w:t>should</w:t>
      </w:r>
      <w:r w:rsidR="00DF4FCB" w:rsidRPr="00020A48">
        <w:rPr>
          <w:rFonts w:asciiTheme="minorHAnsi" w:hAnsiTheme="minorHAnsi"/>
          <w:sz w:val="22"/>
          <w:szCs w:val="22"/>
        </w:rPr>
        <w:t xml:space="preserve"> be shown as the opposite of their accounting value (</w:t>
      </w:r>
      <w:r w:rsidRPr="00020A48">
        <w:rPr>
          <w:rFonts w:asciiTheme="minorHAnsi" w:hAnsiTheme="minorHAnsi"/>
          <w:sz w:val="22"/>
          <w:szCs w:val="22"/>
        </w:rPr>
        <w:t xml:space="preserve">i.e. </w:t>
      </w:r>
      <w:r w:rsidR="008E2F23" w:rsidRPr="00020A48">
        <w:rPr>
          <w:rFonts w:asciiTheme="minorHAnsi" w:hAnsiTheme="minorHAnsi"/>
          <w:sz w:val="22"/>
          <w:szCs w:val="22"/>
        </w:rPr>
        <w:t xml:space="preserve">accounting </w:t>
      </w:r>
      <w:r w:rsidR="00DF4FCB" w:rsidRPr="00020A48">
        <w:rPr>
          <w:rFonts w:asciiTheme="minorHAnsi" w:hAnsiTheme="minorHAnsi"/>
          <w:sz w:val="22"/>
          <w:szCs w:val="22"/>
        </w:rPr>
        <w:t>credits are shown as positive numbers)</w:t>
      </w:r>
    </w:p>
    <w:p w:rsidR="0001557C" w:rsidRPr="00020A48" w:rsidRDefault="00722504" w:rsidP="00DF4FCB">
      <w:pPr>
        <w:pStyle w:val="ListParagraph"/>
        <w:numPr>
          <w:ilvl w:val="1"/>
          <w:numId w:val="33"/>
        </w:numPr>
        <w:rPr>
          <w:rFonts w:asciiTheme="minorHAnsi" w:hAnsiTheme="minorHAnsi"/>
          <w:sz w:val="22"/>
          <w:szCs w:val="22"/>
        </w:rPr>
      </w:pPr>
      <w:r w:rsidRPr="00020A48">
        <w:rPr>
          <w:rFonts w:asciiTheme="minorHAnsi" w:hAnsiTheme="minorHAnsi"/>
          <w:sz w:val="22"/>
          <w:szCs w:val="22"/>
        </w:rPr>
        <w:t>So a</w:t>
      </w:r>
      <w:r w:rsidR="0001557C" w:rsidRPr="00020A48">
        <w:rPr>
          <w:rFonts w:asciiTheme="minorHAnsi" w:hAnsiTheme="minorHAnsi"/>
          <w:sz w:val="22"/>
          <w:szCs w:val="22"/>
        </w:rPr>
        <w:t xml:space="preserve"> negative income item represents a reduction in sales – perhaps a refund contingency or a passing on of the income elsewhere</w:t>
      </w:r>
    </w:p>
    <w:p w:rsidR="004403A4" w:rsidRPr="00020A48" w:rsidRDefault="004403A4"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Cost</w:t>
      </w:r>
    </w:p>
    <w:p w:rsidR="00DF4FCB" w:rsidRPr="00020A48" w:rsidRDefault="00DF4FCB" w:rsidP="00DF4FCB">
      <w:pPr>
        <w:pStyle w:val="ListParagraph"/>
        <w:numPr>
          <w:ilvl w:val="1"/>
          <w:numId w:val="33"/>
        </w:numPr>
        <w:rPr>
          <w:rFonts w:asciiTheme="minorHAnsi" w:hAnsiTheme="minorHAnsi"/>
          <w:sz w:val="22"/>
          <w:szCs w:val="22"/>
        </w:rPr>
      </w:pPr>
      <w:r w:rsidRPr="00020A48">
        <w:rPr>
          <w:rFonts w:asciiTheme="minorHAnsi" w:hAnsiTheme="minorHAnsi"/>
          <w:sz w:val="22"/>
          <w:szCs w:val="22"/>
        </w:rPr>
        <w:t xml:space="preserve">Cost type items </w:t>
      </w:r>
      <w:r w:rsidR="008A2DE3" w:rsidRPr="008A2DE3">
        <w:rPr>
          <w:rFonts w:asciiTheme="minorHAnsi" w:hAnsiTheme="minorHAnsi"/>
          <w:color w:val="7030A0"/>
          <w:sz w:val="22"/>
          <w:szCs w:val="22"/>
        </w:rPr>
        <w:t>should</w:t>
      </w:r>
      <w:r w:rsidRPr="00020A48">
        <w:rPr>
          <w:rFonts w:asciiTheme="minorHAnsi" w:hAnsiTheme="minorHAnsi"/>
          <w:sz w:val="22"/>
          <w:szCs w:val="22"/>
        </w:rPr>
        <w:t xml:space="preserve"> be shown as the same as their accounting value (so costs are shown as positive numbers)</w:t>
      </w:r>
    </w:p>
    <w:p w:rsidR="0001557C" w:rsidRPr="00020A48" w:rsidRDefault="00722504" w:rsidP="00DF4FCB">
      <w:pPr>
        <w:pStyle w:val="ListParagraph"/>
        <w:numPr>
          <w:ilvl w:val="1"/>
          <w:numId w:val="33"/>
        </w:numPr>
        <w:rPr>
          <w:rFonts w:asciiTheme="minorHAnsi" w:hAnsiTheme="minorHAnsi"/>
          <w:sz w:val="22"/>
          <w:szCs w:val="22"/>
        </w:rPr>
      </w:pPr>
      <w:r w:rsidRPr="00020A48">
        <w:rPr>
          <w:rFonts w:asciiTheme="minorHAnsi" w:hAnsiTheme="minorHAnsi"/>
          <w:sz w:val="22"/>
          <w:szCs w:val="22"/>
        </w:rPr>
        <w:t>So a</w:t>
      </w:r>
      <w:r w:rsidR="0001557C" w:rsidRPr="00020A48">
        <w:rPr>
          <w:rFonts w:asciiTheme="minorHAnsi" w:hAnsiTheme="minorHAnsi"/>
          <w:sz w:val="22"/>
          <w:szCs w:val="22"/>
        </w:rPr>
        <w:t xml:space="preserve"> negative cost item represents a reduction in spend – perhaps a supplier rebate or a recharging of costs elsewhere.  Cost recharges </w:t>
      </w:r>
      <w:r w:rsidR="008A2DE3" w:rsidRPr="008A2DE3">
        <w:rPr>
          <w:rFonts w:asciiTheme="minorHAnsi" w:hAnsiTheme="minorHAnsi"/>
          <w:color w:val="7030A0"/>
          <w:sz w:val="22"/>
          <w:szCs w:val="22"/>
        </w:rPr>
        <w:t>should</w:t>
      </w:r>
      <w:r w:rsidR="0001557C" w:rsidRPr="00020A48">
        <w:rPr>
          <w:rFonts w:asciiTheme="minorHAnsi" w:hAnsiTheme="minorHAnsi"/>
          <w:sz w:val="22"/>
          <w:szCs w:val="22"/>
        </w:rPr>
        <w:t xml:space="preserve"> generally be done on P </w:t>
      </w:r>
      <w:r w:rsidR="008E2F23" w:rsidRPr="00020A48">
        <w:rPr>
          <w:rFonts w:asciiTheme="minorHAnsi" w:hAnsiTheme="minorHAnsi"/>
          <w:sz w:val="22"/>
          <w:szCs w:val="22"/>
        </w:rPr>
        <w:t>SUBJ1 codes</w:t>
      </w:r>
    </w:p>
    <w:p w:rsidR="004403A4" w:rsidRPr="00020A48" w:rsidRDefault="004403A4"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Transfers</w:t>
      </w:r>
    </w:p>
    <w:p w:rsidR="00DF4FCB" w:rsidRPr="00020A48" w:rsidRDefault="00DF4FCB" w:rsidP="00DF4FCB">
      <w:pPr>
        <w:pStyle w:val="ListParagraph"/>
        <w:numPr>
          <w:ilvl w:val="1"/>
          <w:numId w:val="33"/>
        </w:numPr>
        <w:rPr>
          <w:rFonts w:asciiTheme="minorHAnsi" w:hAnsiTheme="minorHAnsi"/>
          <w:sz w:val="22"/>
          <w:szCs w:val="22"/>
        </w:rPr>
      </w:pPr>
      <w:r w:rsidRPr="00020A48">
        <w:rPr>
          <w:rFonts w:asciiTheme="minorHAnsi" w:hAnsiTheme="minorHAnsi"/>
          <w:sz w:val="22"/>
          <w:szCs w:val="22"/>
        </w:rPr>
        <w:t xml:space="preserve">Transfers </w:t>
      </w:r>
      <w:r w:rsidR="001A05AA">
        <w:rPr>
          <w:rFonts w:asciiTheme="minorHAnsi" w:hAnsiTheme="minorHAnsi"/>
          <w:color w:val="7030A0"/>
          <w:sz w:val="22"/>
          <w:szCs w:val="22"/>
        </w:rPr>
        <w:t>must</w:t>
      </w:r>
      <w:r w:rsidRPr="00020A48">
        <w:rPr>
          <w:rFonts w:asciiTheme="minorHAnsi" w:hAnsiTheme="minorHAnsi"/>
          <w:sz w:val="22"/>
          <w:szCs w:val="22"/>
        </w:rPr>
        <w:t xml:space="preserve"> be treated as </w:t>
      </w:r>
      <w:r w:rsidR="0001557C" w:rsidRPr="00020A48">
        <w:rPr>
          <w:rFonts w:asciiTheme="minorHAnsi" w:hAnsiTheme="minorHAnsi"/>
          <w:sz w:val="22"/>
          <w:szCs w:val="22"/>
        </w:rPr>
        <w:t>income, so transfers in are shown as positive, and transfers out as negative</w:t>
      </w:r>
    </w:p>
    <w:p w:rsidR="004403A4" w:rsidRPr="00020A48" w:rsidRDefault="004403A4"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Subtotals</w:t>
      </w:r>
    </w:p>
    <w:p w:rsidR="004403A4" w:rsidRPr="00020A48" w:rsidRDefault="004403A4" w:rsidP="004403A4">
      <w:pPr>
        <w:pStyle w:val="ListParagraph"/>
        <w:numPr>
          <w:ilvl w:val="1"/>
          <w:numId w:val="33"/>
        </w:numPr>
        <w:rPr>
          <w:rFonts w:asciiTheme="minorHAnsi" w:hAnsiTheme="minorHAnsi"/>
          <w:sz w:val="22"/>
          <w:szCs w:val="22"/>
        </w:rPr>
      </w:pPr>
      <w:r w:rsidRPr="00020A48">
        <w:rPr>
          <w:rFonts w:asciiTheme="minorHAnsi" w:hAnsiTheme="minorHAnsi"/>
          <w:sz w:val="22"/>
          <w:szCs w:val="22"/>
        </w:rPr>
        <w:t xml:space="preserve">Subtotals of like items </w:t>
      </w:r>
      <w:r w:rsidR="008A2DE3" w:rsidRPr="008A2DE3">
        <w:rPr>
          <w:rFonts w:asciiTheme="minorHAnsi" w:hAnsiTheme="minorHAnsi"/>
          <w:color w:val="7030A0"/>
          <w:sz w:val="22"/>
          <w:szCs w:val="22"/>
        </w:rPr>
        <w:t>should</w:t>
      </w:r>
      <w:r w:rsidRPr="00020A48">
        <w:rPr>
          <w:rFonts w:asciiTheme="minorHAnsi" w:hAnsiTheme="minorHAnsi"/>
          <w:sz w:val="22"/>
          <w:szCs w:val="22"/>
        </w:rPr>
        <w:t xml:space="preserve"> be shown with the same sense of the items </w:t>
      </w:r>
    </w:p>
    <w:p w:rsidR="004403A4" w:rsidRPr="00020A48" w:rsidRDefault="004403A4" w:rsidP="004403A4">
      <w:pPr>
        <w:pStyle w:val="ListParagraph"/>
        <w:numPr>
          <w:ilvl w:val="1"/>
          <w:numId w:val="33"/>
        </w:numPr>
        <w:rPr>
          <w:rFonts w:asciiTheme="minorHAnsi" w:hAnsiTheme="minorHAnsi"/>
          <w:sz w:val="22"/>
          <w:szCs w:val="22"/>
        </w:rPr>
      </w:pPr>
      <w:r w:rsidRPr="00020A48">
        <w:rPr>
          <w:rFonts w:asciiTheme="minorHAnsi" w:hAnsiTheme="minorHAnsi"/>
          <w:sz w:val="22"/>
          <w:szCs w:val="22"/>
        </w:rPr>
        <w:t xml:space="preserve">Subtotals involving income less expenditure </w:t>
      </w:r>
      <w:r w:rsidR="008A2DE3" w:rsidRPr="008A2DE3">
        <w:rPr>
          <w:rFonts w:asciiTheme="minorHAnsi" w:hAnsiTheme="minorHAnsi"/>
          <w:color w:val="7030A0"/>
          <w:sz w:val="22"/>
          <w:szCs w:val="22"/>
        </w:rPr>
        <w:t>should</w:t>
      </w:r>
      <w:r w:rsidRPr="00020A48">
        <w:rPr>
          <w:rFonts w:asciiTheme="minorHAnsi" w:hAnsiTheme="minorHAnsi"/>
          <w:sz w:val="22"/>
          <w:szCs w:val="22"/>
        </w:rPr>
        <w:t xml:space="preserve"> be shown so that a surplus is positive and a deficit negative.</w:t>
      </w:r>
    </w:p>
    <w:p w:rsidR="00302316" w:rsidRPr="00020A48" w:rsidRDefault="00302316" w:rsidP="004403A4">
      <w:pPr>
        <w:pStyle w:val="ListParagraph"/>
        <w:numPr>
          <w:ilvl w:val="1"/>
          <w:numId w:val="33"/>
        </w:numPr>
        <w:rPr>
          <w:rFonts w:asciiTheme="minorHAnsi" w:hAnsiTheme="minorHAnsi"/>
          <w:sz w:val="22"/>
          <w:szCs w:val="22"/>
        </w:rPr>
      </w:pPr>
      <w:r w:rsidRPr="00020A48">
        <w:rPr>
          <w:rFonts w:asciiTheme="minorHAnsi" w:hAnsiTheme="minorHAnsi"/>
          <w:sz w:val="22"/>
          <w:szCs w:val="22"/>
        </w:rPr>
        <w:t xml:space="preserve">Separate column subtotals </w:t>
      </w:r>
      <w:r w:rsidR="00432488" w:rsidRPr="00020A48">
        <w:rPr>
          <w:rFonts w:asciiTheme="minorHAnsi" w:hAnsiTheme="minorHAnsi"/>
          <w:sz w:val="22"/>
          <w:szCs w:val="22"/>
        </w:rPr>
        <w:t xml:space="preserve">(e.g. for showing an internal subtotal) </w:t>
      </w:r>
      <w:r w:rsidR="008A2DE3" w:rsidRPr="008A2DE3">
        <w:rPr>
          <w:rFonts w:asciiTheme="minorHAnsi" w:hAnsiTheme="minorHAnsi"/>
          <w:color w:val="7030A0"/>
          <w:sz w:val="22"/>
          <w:szCs w:val="22"/>
        </w:rPr>
        <w:t>should</w:t>
      </w:r>
      <w:r w:rsidRPr="00020A48">
        <w:rPr>
          <w:rFonts w:asciiTheme="minorHAnsi" w:hAnsiTheme="minorHAnsi"/>
          <w:sz w:val="22"/>
          <w:szCs w:val="22"/>
        </w:rPr>
        <w:t xml:space="preserve"> be avoided if </w:t>
      </w:r>
      <w:r w:rsidR="00432488" w:rsidRPr="00020A48">
        <w:rPr>
          <w:rFonts w:asciiTheme="minorHAnsi" w:hAnsiTheme="minorHAnsi"/>
          <w:sz w:val="22"/>
          <w:szCs w:val="22"/>
        </w:rPr>
        <w:t xml:space="preserve">at all </w:t>
      </w:r>
      <w:r w:rsidRPr="00020A48">
        <w:rPr>
          <w:rFonts w:asciiTheme="minorHAnsi" w:hAnsiTheme="minorHAnsi"/>
          <w:sz w:val="22"/>
          <w:szCs w:val="22"/>
        </w:rPr>
        <w:t>possible.</w:t>
      </w:r>
    </w:p>
    <w:p w:rsidR="0035180B" w:rsidRPr="00020A48" w:rsidRDefault="0001557C"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 xml:space="preserve">Variances </w:t>
      </w:r>
      <w:r w:rsidR="001A05AA">
        <w:rPr>
          <w:rFonts w:asciiTheme="minorHAnsi" w:hAnsiTheme="minorHAnsi"/>
          <w:color w:val="7030A0"/>
          <w:sz w:val="22"/>
          <w:szCs w:val="22"/>
        </w:rPr>
        <w:t>must</w:t>
      </w:r>
      <w:r w:rsidRPr="00020A48">
        <w:rPr>
          <w:rFonts w:asciiTheme="minorHAnsi" w:hAnsiTheme="minorHAnsi"/>
          <w:sz w:val="22"/>
          <w:szCs w:val="22"/>
        </w:rPr>
        <w:t xml:space="preserve"> be shown with positive meaning favourable and negative meaning adverse.  This will mean different formulae for income</w:t>
      </w:r>
      <w:r w:rsidR="004403A4" w:rsidRPr="00020A48">
        <w:rPr>
          <w:rFonts w:asciiTheme="minorHAnsi" w:hAnsiTheme="minorHAnsi"/>
          <w:sz w:val="22"/>
          <w:szCs w:val="22"/>
        </w:rPr>
        <w:t>,</w:t>
      </w:r>
      <w:r w:rsidRPr="00020A48">
        <w:rPr>
          <w:rFonts w:asciiTheme="minorHAnsi" w:hAnsiTheme="minorHAnsi"/>
          <w:sz w:val="22"/>
          <w:szCs w:val="22"/>
        </w:rPr>
        <w:t xml:space="preserve"> cost</w:t>
      </w:r>
      <w:r w:rsidR="004403A4" w:rsidRPr="00020A48">
        <w:rPr>
          <w:rFonts w:asciiTheme="minorHAnsi" w:hAnsiTheme="minorHAnsi"/>
          <w:sz w:val="22"/>
          <w:szCs w:val="22"/>
        </w:rPr>
        <w:t xml:space="preserve"> and sometimes subtotals</w:t>
      </w:r>
      <w:r w:rsidRPr="00020A48">
        <w:rPr>
          <w:rFonts w:asciiTheme="minorHAnsi" w:hAnsiTheme="minorHAnsi"/>
          <w:sz w:val="22"/>
          <w:szCs w:val="22"/>
        </w:rPr>
        <w:t>.</w:t>
      </w:r>
    </w:p>
    <w:p w:rsidR="00E26298" w:rsidRPr="00020A48" w:rsidRDefault="00E26298" w:rsidP="004403A4">
      <w:pPr>
        <w:pStyle w:val="ListParagraph"/>
        <w:numPr>
          <w:ilvl w:val="0"/>
          <w:numId w:val="33"/>
        </w:numPr>
        <w:rPr>
          <w:rFonts w:asciiTheme="minorHAnsi" w:hAnsiTheme="minorHAnsi"/>
          <w:sz w:val="22"/>
          <w:szCs w:val="22"/>
        </w:rPr>
      </w:pPr>
      <w:r w:rsidRPr="00020A48">
        <w:rPr>
          <w:rFonts w:asciiTheme="minorHAnsi" w:hAnsiTheme="minorHAnsi"/>
          <w:sz w:val="22"/>
          <w:szCs w:val="22"/>
        </w:rPr>
        <w:t xml:space="preserve">Negatives </w:t>
      </w:r>
      <w:r w:rsidR="008A2DE3" w:rsidRPr="008A2DE3">
        <w:rPr>
          <w:rFonts w:asciiTheme="minorHAnsi" w:hAnsiTheme="minorHAnsi"/>
          <w:color w:val="7030A0"/>
          <w:sz w:val="22"/>
          <w:szCs w:val="22"/>
        </w:rPr>
        <w:t>should</w:t>
      </w:r>
      <w:r w:rsidRPr="00020A48">
        <w:rPr>
          <w:rFonts w:asciiTheme="minorHAnsi" w:hAnsiTheme="minorHAnsi"/>
          <w:sz w:val="22"/>
          <w:szCs w:val="22"/>
        </w:rPr>
        <w:t xml:space="preserve"> be shown where possible by the use of </w:t>
      </w:r>
      <w:r w:rsidR="008632BC" w:rsidRPr="00020A48">
        <w:rPr>
          <w:rFonts w:asciiTheme="minorHAnsi" w:hAnsiTheme="minorHAnsi"/>
          <w:sz w:val="22"/>
          <w:szCs w:val="22"/>
        </w:rPr>
        <w:t>brackets</w:t>
      </w:r>
    </w:p>
    <w:p w:rsidR="0001557C" w:rsidRPr="00E117B2" w:rsidRDefault="0001557C" w:rsidP="0001557C">
      <w:r w:rsidRPr="00E117B2">
        <w:t xml:space="preserve">Where there </w:t>
      </w:r>
      <w:r w:rsidR="008A2DE3" w:rsidRPr="001A05AA">
        <w:t>may</w:t>
      </w:r>
      <w:r w:rsidRPr="00E117B2">
        <w:t xml:space="preserve"> be confusion (</w:t>
      </w:r>
      <w:r w:rsidR="008E2F23" w:rsidRPr="00E117B2">
        <w:t>f</w:t>
      </w:r>
      <w:r w:rsidRPr="00E117B2">
        <w:t xml:space="preserve">or example comparing </w:t>
      </w:r>
      <w:r w:rsidR="008E2F23" w:rsidRPr="00E117B2">
        <w:t xml:space="preserve">or combining areas, where income to one is a cost to another), extra care </w:t>
      </w:r>
      <w:r w:rsidR="008A2DE3" w:rsidRPr="001A05AA">
        <w:t>should</w:t>
      </w:r>
      <w:r w:rsidR="008E2F23" w:rsidRPr="00E117B2">
        <w:t xml:space="preserve"> be taken to ensure clarity is achieved.</w:t>
      </w:r>
    </w:p>
    <w:p w:rsidR="00E26298" w:rsidRDefault="00E26298" w:rsidP="00240376">
      <w:r>
        <w:t>Reports that are obtained directly from the accounting system (EAS, CSR, MID3) follow the standard accounting convention of income being negative and costs positive.  These are mostly used by accounting trained staff who are used to seeing the data in this form.</w:t>
      </w:r>
    </w:p>
    <w:p w:rsidR="00B022FF" w:rsidRPr="00E117B2" w:rsidRDefault="00E26298" w:rsidP="00240376">
      <w:r>
        <w:t xml:space="preserve">Because of some reporting limitations, </w:t>
      </w:r>
      <w:r w:rsidR="006A56BE">
        <w:t>certain</w:t>
      </w:r>
      <w:r w:rsidR="00B022FF" w:rsidRPr="00E117B2">
        <w:t xml:space="preserve"> reports (e.g. Cognos Automated) </w:t>
      </w:r>
      <w:r>
        <w:t xml:space="preserve">use alternative methods of indicating the accounting sense, </w:t>
      </w:r>
      <w:r w:rsidR="006A56BE">
        <w:t>(e.g. colour).</w:t>
      </w:r>
    </w:p>
    <w:p w:rsidR="00E117B2" w:rsidRDefault="00E117B2">
      <w:pPr>
        <w:spacing w:after="0" w:line="240" w:lineRule="auto"/>
        <w:rPr>
          <w:rFonts w:ascii="Cambria" w:eastAsia="Times New Roman" w:hAnsi="Cambria"/>
          <w:b/>
          <w:bCs/>
          <w:color w:val="365F91"/>
          <w:sz w:val="28"/>
          <w:szCs w:val="28"/>
        </w:rPr>
      </w:pPr>
      <w:r>
        <w:br w:type="page"/>
      </w:r>
    </w:p>
    <w:p w:rsidR="002F7CC5" w:rsidRDefault="00620B10" w:rsidP="008144B8">
      <w:pPr>
        <w:pStyle w:val="Heading1"/>
      </w:pPr>
      <w:bookmarkStart w:id="77" w:name="_Toc384902724"/>
      <w:r>
        <w:lastRenderedPageBreak/>
        <w:t xml:space="preserve">Appendix 1: </w:t>
      </w:r>
      <w:r w:rsidR="008144B8">
        <w:t>Glossary</w:t>
      </w:r>
      <w:bookmarkEnd w:id="77"/>
    </w:p>
    <w:tbl>
      <w:tblPr>
        <w:tblW w:w="8260" w:type="dxa"/>
        <w:tblInd w:w="93" w:type="dxa"/>
        <w:tblLook w:val="04A0" w:firstRow="1" w:lastRow="0" w:firstColumn="1" w:lastColumn="0" w:noHBand="0" w:noVBand="1"/>
      </w:tblPr>
      <w:tblGrid>
        <w:gridCol w:w="1700"/>
        <w:gridCol w:w="6560"/>
      </w:tblGrid>
      <w:tr w:rsidR="009641F4" w:rsidRPr="00020A48" w:rsidTr="009641F4">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b/>
                <w:bCs/>
                <w:color w:val="000000"/>
                <w:lang w:eastAsia="en-GB"/>
              </w:rPr>
            </w:pPr>
            <w:r w:rsidRPr="00020A48">
              <w:rPr>
                <w:rFonts w:asciiTheme="minorHAnsi" w:eastAsia="Times New Roman" w:hAnsiTheme="minorHAnsi" w:cs="Arial"/>
                <w:b/>
                <w:bCs/>
                <w:color w:val="000000"/>
                <w:lang w:eastAsia="en-GB"/>
              </w:rPr>
              <w:t>Word</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b/>
                <w:bCs/>
                <w:color w:val="000000"/>
                <w:lang w:eastAsia="en-GB"/>
              </w:rPr>
            </w:pPr>
            <w:r w:rsidRPr="00020A48">
              <w:rPr>
                <w:rFonts w:asciiTheme="minorHAnsi" w:eastAsia="Times New Roman" w:hAnsiTheme="minorHAnsi" w:cs="Arial"/>
                <w:b/>
                <w:bCs/>
                <w:color w:val="000000"/>
                <w:lang w:eastAsia="en-GB"/>
              </w:rPr>
              <w:t>Explanation</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Adverse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Less income or more expenditure than budget.</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Budget</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Detailed financial representation of next year's financial plan.</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Capital</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lang w:eastAsia="en-GB"/>
              </w:rPr>
            </w:pPr>
            <w:r w:rsidRPr="00020A48">
              <w:rPr>
                <w:rFonts w:asciiTheme="minorHAnsi" w:eastAsia="Times New Roman" w:hAnsiTheme="minorHAnsi" w:cs="Arial"/>
                <w:lang w:eastAsia="en-GB"/>
              </w:rPr>
              <w:t>Asset having a long term benefit</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CAT</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Common Action Team</w:t>
            </w:r>
          </w:p>
        </w:tc>
      </w:tr>
      <w:tr w:rsidR="00E4227E"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4227E" w:rsidRPr="00020A48" w:rsidRDefault="00E4227E" w:rsidP="009641F4">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CSR</w:t>
            </w:r>
          </w:p>
        </w:tc>
        <w:tc>
          <w:tcPr>
            <w:tcW w:w="6560" w:type="dxa"/>
            <w:tcBorders>
              <w:top w:val="nil"/>
              <w:left w:val="nil"/>
              <w:bottom w:val="single" w:sz="4" w:space="0" w:color="auto"/>
              <w:right w:val="single" w:sz="4" w:space="0" w:color="auto"/>
            </w:tcBorders>
            <w:shd w:val="clear" w:color="auto" w:fill="auto"/>
            <w:vAlign w:val="bottom"/>
          </w:tcPr>
          <w:p w:rsidR="00E4227E" w:rsidRPr="00020A48" w:rsidRDefault="00E4227E" w:rsidP="009641F4">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“Client Side Reporting” – facility that produces formatted reports based on data in EAS reports (see blow)</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C23163">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C</w:t>
            </w:r>
            <w:r w:rsidR="00C23163">
              <w:rPr>
                <w:rFonts w:asciiTheme="minorHAnsi" w:eastAsia="Times New Roman" w:hAnsiTheme="minorHAnsi" w:cs="Arial"/>
                <w:color w:val="000000"/>
                <w:lang w:eastAsia="en-GB"/>
              </w:rPr>
              <w:t>ognos</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University Business Intelligence and planning tool</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Deficit</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Excess of expenditure over income.</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EBITDA</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Earnings before interest, tax, depreciation &amp; amortisation</w:t>
            </w:r>
          </w:p>
        </w:tc>
      </w:tr>
      <w:tr w:rsidR="00E4227E"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4227E" w:rsidRPr="00020A48" w:rsidRDefault="00E4227E" w:rsidP="009641F4">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EAS</w:t>
            </w:r>
          </w:p>
        </w:tc>
        <w:tc>
          <w:tcPr>
            <w:tcW w:w="6560" w:type="dxa"/>
            <w:tcBorders>
              <w:top w:val="nil"/>
              <w:left w:val="nil"/>
              <w:bottom w:val="single" w:sz="4" w:space="0" w:color="auto"/>
              <w:right w:val="single" w:sz="4" w:space="0" w:color="auto"/>
            </w:tcBorders>
            <w:shd w:val="clear" w:color="auto" w:fill="auto"/>
            <w:vAlign w:val="bottom"/>
          </w:tcPr>
          <w:p w:rsidR="00E4227E" w:rsidRPr="00020A48" w:rsidRDefault="00E4227E" w:rsidP="00E4227E">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Reporting facility that downloads raw Aptos data into Excel</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Favourable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More income or less expenditure than budget.</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FEC</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Full economic costing</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Forecast</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Best estimate of the likely outturn of the year.</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FTE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Full time equivalent</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HASS</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Humanities and Social Sciences</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HEFCE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Higher Education Funding Council for England</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HEI</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Higher Education Institute</w:t>
            </w:r>
          </w:p>
        </w:tc>
      </w:tr>
      <w:tr w:rsidR="00860242"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860242" w:rsidRDefault="00860242" w:rsidP="009641F4">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HEIF</w:t>
            </w:r>
          </w:p>
        </w:tc>
        <w:tc>
          <w:tcPr>
            <w:tcW w:w="6560" w:type="dxa"/>
            <w:tcBorders>
              <w:top w:val="nil"/>
              <w:left w:val="nil"/>
              <w:bottom w:val="single" w:sz="4" w:space="0" w:color="auto"/>
              <w:right w:val="single" w:sz="4" w:space="0" w:color="auto"/>
            </w:tcBorders>
            <w:shd w:val="clear" w:color="auto" w:fill="auto"/>
            <w:vAlign w:val="bottom"/>
          </w:tcPr>
          <w:p w:rsidR="00860242" w:rsidRDefault="00860242" w:rsidP="00860242">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Higher Education In</w:t>
            </w:r>
            <w:r>
              <w:rPr>
                <w:rFonts w:asciiTheme="minorHAnsi" w:eastAsia="Times New Roman" w:hAnsiTheme="minorHAnsi" w:cs="Arial"/>
                <w:color w:val="000000"/>
                <w:lang w:eastAsia="en-GB"/>
              </w:rPr>
              <w:t>novation Fund</w:t>
            </w:r>
          </w:p>
        </w:tc>
      </w:tr>
      <w:tr w:rsidR="00E4227E"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E4227E" w:rsidRPr="00020A48" w:rsidRDefault="00E4227E" w:rsidP="009641F4">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MID3</w:t>
            </w:r>
          </w:p>
        </w:tc>
        <w:tc>
          <w:tcPr>
            <w:tcW w:w="6560" w:type="dxa"/>
            <w:tcBorders>
              <w:top w:val="nil"/>
              <w:left w:val="nil"/>
              <w:bottom w:val="single" w:sz="4" w:space="0" w:color="auto"/>
              <w:right w:val="single" w:sz="4" w:space="0" w:color="auto"/>
            </w:tcBorders>
            <w:shd w:val="clear" w:color="auto" w:fill="auto"/>
            <w:vAlign w:val="bottom"/>
          </w:tcPr>
          <w:p w:rsidR="00E4227E" w:rsidRPr="00020A48" w:rsidRDefault="00E4227E" w:rsidP="00E4227E">
            <w:pPr>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Reporting facility that creates dynamic pivot-table-like reports based on data in EAS reports</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Outturn</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The final financial position at the end of a financial year</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PAC</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University Research database</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PI</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Principal Investigator</w:t>
            </w:r>
          </w:p>
        </w:tc>
      </w:tr>
      <w:tr w:rsidR="009641F4" w:rsidRPr="00020A48" w:rsidTr="009641F4">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Planning Cycle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The ongoing process by which the University sets its budgets and manages the outturn</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PRG</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Planning review group</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Recurrent</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Ongoing (repeating) income or expenditure.</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REF</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Research Excellence Framework</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Resource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Income</w:t>
            </w:r>
            <w:r w:rsidR="00EA6AE3">
              <w:rPr>
                <w:rFonts w:asciiTheme="minorHAnsi" w:eastAsia="Times New Roman" w:hAnsiTheme="minorHAnsi" w:cs="Arial"/>
                <w:color w:val="000000"/>
                <w:lang w:eastAsia="en-GB"/>
              </w:rPr>
              <w:t xml:space="preserve"> or Available Allocation</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Revenue</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lang w:eastAsia="en-GB"/>
              </w:rPr>
            </w:pPr>
            <w:r w:rsidRPr="00020A48">
              <w:rPr>
                <w:rFonts w:asciiTheme="minorHAnsi" w:eastAsia="Times New Roman" w:hAnsiTheme="minorHAnsi" w:cs="Arial"/>
                <w:lang w:eastAsia="en-GB"/>
              </w:rPr>
              <w:t>Effect is temporary and exhausted within the financial year</w:t>
            </w:r>
          </w:p>
        </w:tc>
      </w:tr>
      <w:tr w:rsidR="009641F4" w:rsidRPr="00020A48" w:rsidTr="009641F4">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Strategy</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A plan of action designed to achieve a long-term or overall aim.</w:t>
            </w:r>
          </w:p>
        </w:tc>
      </w:tr>
      <w:tr w:rsidR="009641F4" w:rsidRPr="00020A48" w:rsidTr="009641F4">
        <w:trPr>
          <w:trHeight w:val="6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SUBJ1</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Part of the accounting code structure, representing the type of expenditure</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Surplus</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Excess of income over expenditure.</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TRAC</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Transparent approach to costing</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Transfer</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Movement of resource from one area to another</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UG</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Undergraduate student</w:t>
            </w:r>
          </w:p>
        </w:tc>
      </w:tr>
      <w:tr w:rsidR="009641F4" w:rsidRPr="00020A48" w:rsidTr="009641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VCEG</w:t>
            </w:r>
          </w:p>
        </w:tc>
        <w:tc>
          <w:tcPr>
            <w:tcW w:w="6560" w:type="dxa"/>
            <w:tcBorders>
              <w:top w:val="nil"/>
              <w:left w:val="nil"/>
              <w:bottom w:val="single" w:sz="4" w:space="0" w:color="auto"/>
              <w:right w:val="single" w:sz="4" w:space="0" w:color="auto"/>
            </w:tcBorders>
            <w:shd w:val="clear" w:color="auto" w:fill="auto"/>
            <w:vAlign w:val="bottom"/>
            <w:hideMark/>
          </w:tcPr>
          <w:p w:rsidR="009641F4" w:rsidRPr="00020A48" w:rsidRDefault="009641F4" w:rsidP="009641F4">
            <w:pPr>
              <w:spacing w:after="0" w:line="240" w:lineRule="auto"/>
              <w:rPr>
                <w:rFonts w:asciiTheme="minorHAnsi" w:eastAsia="Times New Roman" w:hAnsiTheme="minorHAnsi" w:cs="Arial"/>
                <w:color w:val="000000"/>
                <w:lang w:eastAsia="en-GB"/>
              </w:rPr>
            </w:pPr>
            <w:r w:rsidRPr="00020A48">
              <w:rPr>
                <w:rFonts w:asciiTheme="minorHAnsi" w:eastAsia="Times New Roman" w:hAnsiTheme="minorHAnsi" w:cs="Arial"/>
                <w:color w:val="000000"/>
                <w:lang w:eastAsia="en-GB"/>
              </w:rPr>
              <w:t>Vice Chancellor</w:t>
            </w:r>
            <w:r w:rsidR="006A453E">
              <w:rPr>
                <w:rFonts w:asciiTheme="minorHAnsi" w:eastAsia="Times New Roman" w:hAnsiTheme="minorHAnsi" w:cs="Arial"/>
                <w:color w:val="000000"/>
                <w:lang w:eastAsia="en-GB"/>
              </w:rPr>
              <w:t>’</w:t>
            </w:r>
            <w:r w:rsidRPr="00020A48">
              <w:rPr>
                <w:rFonts w:asciiTheme="minorHAnsi" w:eastAsia="Times New Roman" w:hAnsiTheme="minorHAnsi" w:cs="Arial"/>
                <w:color w:val="000000"/>
                <w:lang w:eastAsia="en-GB"/>
              </w:rPr>
              <w:t>s Executive Committee</w:t>
            </w:r>
          </w:p>
        </w:tc>
      </w:tr>
    </w:tbl>
    <w:p w:rsidR="002012C0" w:rsidRDefault="002012C0" w:rsidP="008144B8"/>
    <w:p w:rsidR="00E117B2" w:rsidRDefault="00E117B2">
      <w:pPr>
        <w:spacing w:after="0" w:line="240" w:lineRule="auto"/>
      </w:pPr>
      <w:r>
        <w:br w:type="page"/>
      </w:r>
    </w:p>
    <w:p w:rsidR="00B67535" w:rsidRDefault="00E117B2" w:rsidP="00E117B2">
      <w:pPr>
        <w:pStyle w:val="Heading1"/>
      </w:pPr>
      <w:bookmarkStart w:id="78" w:name="_Toc384902725"/>
      <w:r>
        <w:lastRenderedPageBreak/>
        <w:t>Appendix 2: Key Contact Details</w:t>
      </w:r>
      <w:bookmarkEnd w:id="78"/>
    </w:p>
    <w:p w:rsidR="00384FAD" w:rsidRPr="00384FAD" w:rsidRDefault="00384FAD" w:rsidP="00384FAD"/>
    <w:tbl>
      <w:tblPr>
        <w:tblW w:w="7953" w:type="dxa"/>
        <w:tblInd w:w="93" w:type="dxa"/>
        <w:tblLook w:val="04A0" w:firstRow="1" w:lastRow="0" w:firstColumn="1" w:lastColumn="0" w:noHBand="0" w:noVBand="1"/>
      </w:tblPr>
      <w:tblGrid>
        <w:gridCol w:w="5560"/>
        <w:gridCol w:w="2393"/>
      </w:tblGrid>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Category</w:t>
            </w: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Key Contact</w:t>
            </w:r>
            <w:r w:rsidR="00936B6E">
              <w:rPr>
                <w:rFonts w:eastAsia="Times New Roman"/>
                <w:color w:val="000000"/>
                <w:lang w:eastAsia="en-GB"/>
              </w:rPr>
              <w:t xml:space="preserve"> (click to email)</w:t>
            </w: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Planning Cycle</w:t>
            </w:r>
          </w:p>
        </w:tc>
        <w:tc>
          <w:tcPr>
            <w:tcW w:w="2393" w:type="dxa"/>
            <w:tcBorders>
              <w:top w:val="nil"/>
              <w:left w:val="nil"/>
              <w:bottom w:val="nil"/>
              <w:right w:val="nil"/>
            </w:tcBorders>
            <w:shd w:val="clear" w:color="auto" w:fill="auto"/>
            <w:noWrap/>
            <w:vAlign w:val="bottom"/>
            <w:hideMark/>
          </w:tcPr>
          <w:p w:rsidR="00384FAD" w:rsidRPr="00384FAD" w:rsidRDefault="00BA0908">
            <w:pPr>
              <w:spacing w:after="0" w:line="240" w:lineRule="auto"/>
              <w:rPr>
                <w:rFonts w:eastAsia="Times New Roman"/>
                <w:color w:val="000000"/>
                <w:lang w:eastAsia="en-GB"/>
              </w:rPr>
            </w:pPr>
            <w:hyperlink r:id="rId20" w:history="1">
              <w:r w:rsidR="00934F77" w:rsidRPr="00934F77">
                <w:rPr>
                  <w:rStyle w:val="Hyperlink"/>
                  <w:rFonts w:eastAsia="Times New Roman"/>
                  <w:lang w:eastAsia="en-GB"/>
                </w:rPr>
                <w:t>Donna Miljus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Baseline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1" w:history="1">
              <w:r w:rsidR="00384FAD" w:rsidRPr="00934F77">
                <w:rPr>
                  <w:rStyle w:val="Hyperlink"/>
                  <w:rFonts w:eastAsia="Times New Roman"/>
                  <w:lang w:eastAsia="en-GB"/>
                </w:rPr>
                <w:t>Bridget Atkins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Assumptions and Parameters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2" w:history="1">
              <w:r w:rsidR="00934F77" w:rsidRPr="00934F77">
                <w:rPr>
                  <w:rStyle w:val="Hyperlink"/>
                  <w:rFonts w:eastAsia="Times New Roman"/>
                  <w:lang w:eastAsia="en-GB"/>
                </w:rPr>
                <w:t>Bridget Atkins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General Principles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3" w:history="1">
              <w:r w:rsidR="00934F77" w:rsidRPr="00934F77">
                <w:rPr>
                  <w:rStyle w:val="Hyperlink"/>
                  <w:rFonts w:eastAsia="Times New Roman"/>
                  <w:lang w:eastAsia="en-GB"/>
                </w:rPr>
                <w:t>Bridget Atkins</w:t>
              </w:r>
            </w:hyperlink>
          </w:p>
        </w:tc>
      </w:tr>
      <w:tr w:rsidR="001F429C" w:rsidRPr="00384FAD" w:rsidTr="00610E6A">
        <w:trPr>
          <w:trHeight w:val="300"/>
        </w:trPr>
        <w:tc>
          <w:tcPr>
            <w:tcW w:w="5560" w:type="dxa"/>
            <w:tcBorders>
              <w:top w:val="nil"/>
              <w:left w:val="nil"/>
              <w:bottom w:val="nil"/>
              <w:right w:val="nil"/>
            </w:tcBorders>
            <w:shd w:val="clear" w:color="auto" w:fill="auto"/>
            <w:noWrap/>
            <w:vAlign w:val="bottom"/>
          </w:tcPr>
          <w:p w:rsidR="001F429C" w:rsidRPr="00384FAD" w:rsidRDefault="001F429C" w:rsidP="001F429C">
            <w:pPr>
              <w:spacing w:after="0" w:line="240" w:lineRule="auto"/>
              <w:rPr>
                <w:rFonts w:eastAsia="Times New Roman"/>
                <w:color w:val="000000"/>
                <w:lang w:eastAsia="en-GB"/>
              </w:rPr>
            </w:pPr>
            <w:r>
              <w:rPr>
                <w:rFonts w:eastAsia="Times New Roman"/>
                <w:color w:val="000000"/>
                <w:lang w:eastAsia="en-GB"/>
              </w:rPr>
              <w:t>Planning Review Group (PRG)</w:t>
            </w:r>
          </w:p>
        </w:tc>
        <w:tc>
          <w:tcPr>
            <w:tcW w:w="2393" w:type="dxa"/>
            <w:tcBorders>
              <w:top w:val="nil"/>
              <w:left w:val="nil"/>
              <w:bottom w:val="nil"/>
              <w:right w:val="nil"/>
            </w:tcBorders>
            <w:shd w:val="clear" w:color="auto" w:fill="auto"/>
            <w:noWrap/>
            <w:vAlign w:val="bottom"/>
          </w:tcPr>
          <w:p w:rsidR="001F429C" w:rsidRDefault="00BA0908" w:rsidP="00384FAD">
            <w:pPr>
              <w:spacing w:after="0" w:line="240" w:lineRule="auto"/>
              <w:rPr>
                <w:rFonts w:eastAsia="Times New Roman"/>
                <w:color w:val="000000"/>
                <w:lang w:eastAsia="en-GB"/>
              </w:rPr>
            </w:pPr>
            <w:hyperlink r:id="rId24" w:history="1">
              <w:r w:rsidR="001F429C" w:rsidRPr="00934F77">
                <w:rPr>
                  <w:rStyle w:val="Hyperlink"/>
                  <w:rFonts w:eastAsia="Times New Roman"/>
                  <w:lang w:eastAsia="en-GB"/>
                </w:rPr>
                <w:t>Bridget Atkins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b/>
                <w:bCs/>
                <w:color w:val="000000"/>
                <w:lang w:eastAsia="en-GB"/>
              </w:rPr>
            </w:pPr>
            <w:r w:rsidRPr="00384FAD">
              <w:rPr>
                <w:rFonts w:eastAsia="Times New Roman"/>
                <w:b/>
                <w:bCs/>
                <w:color w:val="000000"/>
                <w:lang w:eastAsia="en-GB"/>
              </w:rPr>
              <w:t>Income</w:t>
            </w: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Teaching income including bad debts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5" w:history="1">
              <w:r w:rsidR="00384FAD"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Teaching Income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6" w:history="1">
              <w:r w:rsidR="00934F77"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Wastage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7" w:history="1">
              <w:r w:rsidR="00934F77"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Teaching Load Adjustments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8" w:history="1">
              <w:r w:rsidR="00934F77"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Bad Debts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29" w:history="1">
              <w:r w:rsidR="004126B4" w:rsidRPr="00934F77">
                <w:rPr>
                  <w:rStyle w:val="Hyperlink"/>
                  <w:rFonts w:eastAsia="Times New Roman"/>
                  <w:lang w:eastAsia="en-GB"/>
                </w:rPr>
                <w:t>Caroline Muggridge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1F429C" w:rsidP="00384FAD">
            <w:pPr>
              <w:spacing w:after="0" w:line="240" w:lineRule="auto"/>
              <w:rPr>
                <w:rFonts w:eastAsia="Times New Roman"/>
                <w:color w:val="000000"/>
                <w:lang w:eastAsia="en-GB"/>
              </w:rPr>
            </w:pPr>
            <w:r>
              <w:rPr>
                <w:rFonts w:eastAsia="Times New Roman"/>
                <w:color w:val="000000"/>
                <w:lang w:eastAsia="en-GB"/>
              </w:rPr>
              <w:t xml:space="preserve">Research </w:t>
            </w:r>
            <w:r w:rsidR="00384FAD" w:rsidRPr="00384FAD">
              <w:rPr>
                <w:rFonts w:eastAsia="Times New Roman"/>
                <w:color w:val="000000"/>
                <w:lang w:eastAsia="en-GB"/>
              </w:rPr>
              <w:t>Earnings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0" w:history="1">
              <w:r w:rsidR="00384FAD" w:rsidRPr="00C23441">
                <w:rPr>
                  <w:rStyle w:val="Hyperlink"/>
                  <w:rFonts w:eastAsia="Times New Roman"/>
                  <w:lang w:eastAsia="en-GB"/>
                </w:rPr>
                <w:t>Steve Popham</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1F429C" w:rsidP="00384FAD">
            <w:pPr>
              <w:spacing w:after="0" w:line="240" w:lineRule="auto"/>
              <w:rPr>
                <w:rFonts w:eastAsia="Times New Roman"/>
                <w:color w:val="000000"/>
                <w:lang w:eastAsia="en-GB"/>
              </w:rPr>
            </w:pPr>
            <w:r>
              <w:rPr>
                <w:rFonts w:eastAsia="Times New Roman"/>
                <w:color w:val="000000"/>
                <w:lang w:eastAsia="en-GB"/>
              </w:rPr>
              <w:t xml:space="preserve">Research </w:t>
            </w:r>
            <w:r w:rsidR="00384FAD" w:rsidRPr="00384FAD">
              <w:rPr>
                <w:rFonts w:eastAsia="Times New Roman"/>
                <w:color w:val="000000"/>
                <w:lang w:eastAsia="en-GB"/>
              </w:rPr>
              <w:t>Bad Debts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1" w:history="1">
              <w:r w:rsidR="00934F77" w:rsidRPr="00934F77">
                <w:rPr>
                  <w:rStyle w:val="Hyperlink"/>
                  <w:rFonts w:eastAsia="Times New Roman"/>
                  <w:lang w:eastAsia="en-GB"/>
                </w:rPr>
                <w:t>Caroline Muggridge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Other income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2" w:history="1">
              <w:r w:rsidR="00934F77"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Endowment &amp; Investment Income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3" w:history="1">
              <w:r w:rsidR="00384FAD" w:rsidRPr="00C23441">
                <w:rPr>
                  <w:rStyle w:val="Hyperlink"/>
                  <w:rFonts w:eastAsia="Times New Roman"/>
                  <w:lang w:eastAsia="en-GB"/>
                </w:rPr>
                <w:t>Tanya Hitchen</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Internal Income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4" w:history="1">
              <w:r w:rsidR="00064CFB" w:rsidRPr="00C23441">
                <w:rPr>
                  <w:rStyle w:val="Hyperlink"/>
                  <w:rFonts w:eastAsia="Times New Roman"/>
                  <w:lang w:eastAsia="en-GB"/>
                </w:rPr>
                <w:t>Suzanne Baxter</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Internal Transfers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5" w:history="1">
              <w:r w:rsidR="00384FAD" w:rsidRPr="00C23441">
                <w:rPr>
                  <w:rStyle w:val="Hyperlink"/>
                  <w:rFonts w:eastAsia="Times New Roman"/>
                  <w:lang w:eastAsia="en-GB"/>
                </w:rPr>
                <w:t>Marion Williams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b/>
                <w:bCs/>
                <w:color w:val="000000"/>
                <w:lang w:eastAsia="en-GB"/>
              </w:rPr>
            </w:pPr>
            <w:r w:rsidRPr="00384FAD">
              <w:rPr>
                <w:rFonts w:eastAsia="Times New Roman"/>
                <w:b/>
                <w:bCs/>
                <w:color w:val="000000"/>
                <w:lang w:eastAsia="en-GB"/>
              </w:rPr>
              <w:t>Expenditure</w:t>
            </w: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b/>
                <w:bCs/>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Staff costs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6" w:history="1">
              <w:r w:rsidR="00064CFB"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Staff Provisions: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7"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Professorial/non-spinal pay provision</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8"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Salary re-grades/promotions provisions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39"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“Absence” Provisions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0"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Vacancy savings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1"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Maternity provision</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2"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Long term sickness provision</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3"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Temporary staff related provisions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4"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Staff FTE</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5" w:history="1">
              <w:r w:rsidR="00934F77"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Research Staff Costs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6" w:history="1">
              <w:r w:rsidR="00C23441" w:rsidRPr="00C23441">
                <w:rPr>
                  <w:rStyle w:val="Hyperlink"/>
                  <w:rFonts w:eastAsia="Times New Roman"/>
                  <w:lang w:eastAsia="en-GB"/>
                </w:rPr>
                <w:t>Steve Popham</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Research Other Costs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7" w:history="1">
              <w:r w:rsidR="00C23441" w:rsidRPr="00C23441">
                <w:rPr>
                  <w:rStyle w:val="Hyperlink"/>
                  <w:rFonts w:eastAsia="Times New Roman"/>
                  <w:lang w:eastAsia="en-GB"/>
                </w:rPr>
                <w:t>Steve Popham</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Student Finance Support – Bursaries and Scholarships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8" w:history="1">
              <w:r w:rsidR="00934F77" w:rsidRPr="00934F77">
                <w:rPr>
                  <w:rStyle w:val="Hyperlink"/>
                  <w:rFonts w:eastAsia="Times New Roman"/>
                  <w:lang w:eastAsia="en-GB"/>
                </w:rPr>
                <w:t>Abi Mahde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Operational expenditure/Non Pay</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49" w:history="1">
              <w:r w:rsidR="00C23441" w:rsidRPr="00C23441">
                <w:rPr>
                  <w:rStyle w:val="Hyperlink"/>
                  <w:rFonts w:eastAsia="Times New Roman"/>
                  <w:lang w:eastAsia="en-GB"/>
                </w:rPr>
                <w:t>Chris Merritt</w:t>
              </w:r>
            </w:hyperlink>
          </w:p>
        </w:tc>
      </w:tr>
      <w:tr w:rsidR="001F429C" w:rsidRPr="00384FAD" w:rsidTr="00610E6A">
        <w:trPr>
          <w:trHeight w:val="300"/>
        </w:trPr>
        <w:tc>
          <w:tcPr>
            <w:tcW w:w="5560" w:type="dxa"/>
            <w:tcBorders>
              <w:top w:val="nil"/>
              <w:left w:val="nil"/>
              <w:bottom w:val="nil"/>
              <w:right w:val="nil"/>
            </w:tcBorders>
            <w:shd w:val="clear" w:color="auto" w:fill="auto"/>
            <w:noWrap/>
            <w:vAlign w:val="bottom"/>
          </w:tcPr>
          <w:p w:rsidR="001F429C" w:rsidRPr="00384FAD" w:rsidRDefault="001F429C" w:rsidP="00384FAD">
            <w:pPr>
              <w:spacing w:after="0" w:line="240" w:lineRule="auto"/>
              <w:rPr>
                <w:rFonts w:eastAsia="Times New Roman"/>
                <w:color w:val="000000"/>
                <w:lang w:eastAsia="en-GB"/>
              </w:rPr>
            </w:pPr>
            <w:r>
              <w:rPr>
                <w:rFonts w:eastAsia="Times New Roman"/>
                <w:color w:val="000000"/>
                <w:lang w:eastAsia="en-GB"/>
              </w:rPr>
              <w:t>Library</w:t>
            </w:r>
          </w:p>
        </w:tc>
        <w:tc>
          <w:tcPr>
            <w:tcW w:w="2393" w:type="dxa"/>
            <w:tcBorders>
              <w:top w:val="nil"/>
              <w:left w:val="nil"/>
              <w:bottom w:val="nil"/>
              <w:right w:val="nil"/>
            </w:tcBorders>
            <w:shd w:val="clear" w:color="auto" w:fill="auto"/>
            <w:noWrap/>
            <w:vAlign w:val="bottom"/>
          </w:tcPr>
          <w:p w:rsidR="001F429C" w:rsidRDefault="00BA0908" w:rsidP="00384FAD">
            <w:pPr>
              <w:spacing w:after="0" w:line="240" w:lineRule="auto"/>
              <w:rPr>
                <w:rFonts w:eastAsia="Times New Roman"/>
                <w:color w:val="000000"/>
                <w:lang w:eastAsia="en-GB"/>
              </w:rPr>
            </w:pPr>
            <w:hyperlink r:id="rId50" w:history="1">
              <w:r w:rsidR="00136758" w:rsidRPr="00136758">
                <w:rPr>
                  <w:rStyle w:val="Hyperlink"/>
                  <w:rFonts w:eastAsia="Times New Roman"/>
                  <w:lang w:eastAsia="en-GB"/>
                </w:rPr>
                <w:t>Andrew Burt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Space including provisions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51" w:history="1">
              <w:r w:rsidR="00C23441" w:rsidRPr="00C23441">
                <w:rPr>
                  <w:rStyle w:val="Hyperlink"/>
                  <w:rFonts w:eastAsia="Times New Roman"/>
                  <w:lang w:eastAsia="en-GB"/>
                </w:rPr>
                <w:t>Marion Williams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Utilities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52" w:history="1">
              <w:r w:rsidR="00384FAD" w:rsidRPr="00936B6E">
                <w:rPr>
                  <w:rStyle w:val="Hyperlink"/>
                  <w:rFonts w:eastAsia="Times New Roman"/>
                  <w:lang w:eastAsia="en-GB"/>
                </w:rPr>
                <w:t>Andrew George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lastRenderedPageBreak/>
              <w:t>Contingencies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53" w:history="1">
              <w:r w:rsidR="00934F77" w:rsidRPr="00934F77">
                <w:rPr>
                  <w:rStyle w:val="Hyperlink"/>
                  <w:rFonts w:eastAsia="Times New Roman"/>
                  <w:lang w:eastAsia="en-GB"/>
                </w:rPr>
                <w:t>Bridget Atkins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Budget centre investment budget</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54" w:history="1">
              <w:r w:rsidR="00934F77" w:rsidRPr="00934F77">
                <w:rPr>
                  <w:rStyle w:val="Hyperlink"/>
                  <w:rFonts w:eastAsia="Times New Roman"/>
                  <w:lang w:eastAsia="en-GB"/>
                </w:rPr>
                <w:t>Bridget Atkins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Capital Expenditure</w:t>
            </w:r>
          </w:p>
        </w:tc>
        <w:tc>
          <w:tcPr>
            <w:tcW w:w="2393" w:type="dxa"/>
            <w:tcBorders>
              <w:top w:val="nil"/>
              <w:left w:val="nil"/>
              <w:bottom w:val="nil"/>
              <w:right w:val="nil"/>
            </w:tcBorders>
            <w:shd w:val="clear" w:color="auto" w:fill="auto"/>
            <w:noWrap/>
            <w:vAlign w:val="bottom"/>
            <w:hideMark/>
          </w:tcPr>
          <w:p w:rsidR="00384FAD" w:rsidRPr="00384FAD" w:rsidRDefault="00BA0908" w:rsidP="00002C60">
            <w:pPr>
              <w:spacing w:after="0" w:line="240" w:lineRule="auto"/>
              <w:rPr>
                <w:rFonts w:eastAsia="Times New Roman"/>
                <w:color w:val="000000"/>
                <w:lang w:eastAsia="en-GB"/>
              </w:rPr>
            </w:pPr>
            <w:hyperlink r:id="rId55" w:history="1">
              <w:r w:rsidR="00934F77" w:rsidRPr="00934F77">
                <w:rPr>
                  <w:rStyle w:val="Hyperlink"/>
                  <w:rFonts w:eastAsia="Times New Roman"/>
                  <w:lang w:eastAsia="en-GB"/>
                </w:rPr>
                <w:t>Caroline Muggridge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Capital ‘revenue’ expenditure</w:t>
            </w:r>
          </w:p>
        </w:tc>
        <w:tc>
          <w:tcPr>
            <w:tcW w:w="2393" w:type="dxa"/>
            <w:tcBorders>
              <w:top w:val="nil"/>
              <w:left w:val="nil"/>
              <w:bottom w:val="nil"/>
              <w:right w:val="nil"/>
            </w:tcBorders>
            <w:shd w:val="clear" w:color="auto" w:fill="auto"/>
            <w:noWrap/>
            <w:vAlign w:val="bottom"/>
            <w:hideMark/>
          </w:tcPr>
          <w:p w:rsidR="00384FAD" w:rsidRPr="00384FAD" w:rsidRDefault="00BA0908" w:rsidP="00002C60">
            <w:pPr>
              <w:spacing w:after="0" w:line="240" w:lineRule="auto"/>
              <w:rPr>
                <w:rFonts w:eastAsia="Times New Roman"/>
                <w:color w:val="000000"/>
                <w:lang w:eastAsia="en-GB"/>
              </w:rPr>
            </w:pPr>
            <w:hyperlink r:id="rId56" w:history="1">
              <w:r w:rsidR="00934F77" w:rsidRPr="00934F77">
                <w:rPr>
                  <w:rStyle w:val="Hyperlink"/>
                  <w:rFonts w:eastAsia="Times New Roman"/>
                  <w:lang w:eastAsia="en-GB"/>
                </w:rPr>
                <w:t>Caroline Muggridge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Finance v Operating leases</w:t>
            </w:r>
          </w:p>
        </w:tc>
        <w:tc>
          <w:tcPr>
            <w:tcW w:w="2393" w:type="dxa"/>
            <w:tcBorders>
              <w:top w:val="nil"/>
              <w:left w:val="nil"/>
              <w:bottom w:val="nil"/>
              <w:right w:val="nil"/>
            </w:tcBorders>
            <w:shd w:val="clear" w:color="auto" w:fill="auto"/>
            <w:noWrap/>
            <w:vAlign w:val="bottom"/>
            <w:hideMark/>
          </w:tcPr>
          <w:p w:rsidR="00384FAD" w:rsidRPr="00384FAD" w:rsidRDefault="00BA0908" w:rsidP="00002C60">
            <w:pPr>
              <w:spacing w:after="0" w:line="240" w:lineRule="auto"/>
              <w:rPr>
                <w:rFonts w:eastAsia="Times New Roman"/>
                <w:color w:val="000000"/>
                <w:lang w:eastAsia="en-GB"/>
              </w:rPr>
            </w:pPr>
            <w:hyperlink r:id="rId57" w:history="1">
              <w:r w:rsidR="00934F77" w:rsidRPr="00934F77">
                <w:rPr>
                  <w:rStyle w:val="Hyperlink"/>
                  <w:rFonts w:eastAsia="Times New Roman"/>
                  <w:lang w:eastAsia="en-GB"/>
                </w:rPr>
                <w:t>Caroline Muggridge</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Research strategies</w:t>
            </w:r>
          </w:p>
        </w:tc>
        <w:tc>
          <w:tcPr>
            <w:tcW w:w="2393" w:type="dxa"/>
            <w:tcBorders>
              <w:top w:val="nil"/>
              <w:left w:val="nil"/>
              <w:bottom w:val="nil"/>
              <w:right w:val="nil"/>
            </w:tcBorders>
            <w:shd w:val="clear" w:color="auto" w:fill="auto"/>
            <w:noWrap/>
            <w:vAlign w:val="bottom"/>
            <w:hideMark/>
          </w:tcPr>
          <w:p w:rsidR="00384FAD" w:rsidRPr="00384FAD" w:rsidRDefault="00610E6A" w:rsidP="00610E6A">
            <w:pPr>
              <w:spacing w:after="0" w:line="240" w:lineRule="auto"/>
              <w:rPr>
                <w:rFonts w:eastAsia="Times New Roman"/>
                <w:color w:val="000000"/>
                <w:lang w:eastAsia="en-GB"/>
              </w:rPr>
            </w:pPr>
            <w:r>
              <w:rPr>
                <w:rFonts w:eastAsia="Times New Roman"/>
                <w:color w:val="000000"/>
                <w:lang w:eastAsia="en-GB"/>
              </w:rPr>
              <w:t>RKT Finance Manager</w:t>
            </w: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RKT Investment Strategies</w:t>
            </w:r>
          </w:p>
        </w:tc>
        <w:tc>
          <w:tcPr>
            <w:tcW w:w="2393" w:type="dxa"/>
            <w:tcBorders>
              <w:top w:val="nil"/>
              <w:left w:val="nil"/>
              <w:bottom w:val="nil"/>
              <w:right w:val="nil"/>
            </w:tcBorders>
            <w:shd w:val="clear" w:color="auto" w:fill="auto"/>
            <w:noWrap/>
            <w:vAlign w:val="bottom"/>
            <w:hideMark/>
          </w:tcPr>
          <w:p w:rsidR="00384FAD" w:rsidRPr="00384FAD" w:rsidRDefault="00610E6A" w:rsidP="00384FAD">
            <w:pPr>
              <w:spacing w:after="0" w:line="240" w:lineRule="auto"/>
              <w:rPr>
                <w:rFonts w:eastAsia="Times New Roman"/>
                <w:color w:val="000000"/>
                <w:lang w:eastAsia="en-GB"/>
              </w:rPr>
            </w:pPr>
            <w:r>
              <w:rPr>
                <w:rFonts w:eastAsia="Times New Roman"/>
                <w:color w:val="000000"/>
                <w:lang w:eastAsia="en-GB"/>
              </w:rPr>
              <w:t>RKT Finance Manager</w:t>
            </w: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New programmes/course pricing and costing</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58" w:history="1">
              <w:r w:rsidR="00384FAD" w:rsidRPr="00936B6E">
                <w:rPr>
                  <w:rStyle w:val="Hyperlink"/>
                  <w:rFonts w:eastAsia="Times New Roman"/>
                  <w:lang w:eastAsia="en-GB"/>
                </w:rPr>
                <w:t>Julia Hastings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Bids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59" w:history="1">
              <w:r w:rsidR="00384FAD" w:rsidRPr="00936B6E">
                <w:rPr>
                  <w:rStyle w:val="Hyperlink"/>
                  <w:rFonts w:eastAsia="Times New Roman"/>
                  <w:lang w:eastAsia="en-GB"/>
                </w:rPr>
                <w:t>Julia Hastings</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Professional Development Accounts (PDAs)</w:t>
            </w:r>
          </w:p>
        </w:tc>
        <w:tc>
          <w:tcPr>
            <w:tcW w:w="2393" w:type="dxa"/>
            <w:tcBorders>
              <w:top w:val="nil"/>
              <w:left w:val="nil"/>
              <w:bottom w:val="nil"/>
              <w:right w:val="nil"/>
            </w:tcBorders>
            <w:shd w:val="clear" w:color="auto" w:fill="auto"/>
            <w:noWrap/>
            <w:vAlign w:val="bottom"/>
            <w:hideMark/>
          </w:tcPr>
          <w:p w:rsidR="00384FAD" w:rsidRPr="00384FAD" w:rsidRDefault="00BA0908" w:rsidP="00384FAD">
            <w:pPr>
              <w:spacing w:after="0" w:line="240" w:lineRule="auto"/>
              <w:rPr>
                <w:rFonts w:eastAsia="Times New Roman"/>
                <w:color w:val="000000"/>
                <w:lang w:eastAsia="en-GB"/>
              </w:rPr>
            </w:pPr>
            <w:hyperlink r:id="rId60" w:history="1">
              <w:r w:rsidR="00C23441" w:rsidRPr="00C23441">
                <w:rPr>
                  <w:rStyle w:val="Hyperlink"/>
                  <w:rFonts w:eastAsia="Times New Roman"/>
                  <w:lang w:eastAsia="en-GB"/>
                </w:rPr>
                <w:t>Chris Merritt</w:t>
              </w:r>
            </w:hyperlink>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c>
          <w:tcPr>
            <w:tcW w:w="2393"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p>
        </w:tc>
      </w:tr>
      <w:tr w:rsidR="00384FAD" w:rsidRPr="00384FAD" w:rsidTr="00610E6A">
        <w:trPr>
          <w:trHeight w:val="300"/>
        </w:trPr>
        <w:tc>
          <w:tcPr>
            <w:tcW w:w="5560" w:type="dxa"/>
            <w:tcBorders>
              <w:top w:val="nil"/>
              <w:left w:val="nil"/>
              <w:bottom w:val="nil"/>
              <w:right w:val="nil"/>
            </w:tcBorders>
            <w:shd w:val="clear" w:color="auto" w:fill="auto"/>
            <w:noWrap/>
            <w:vAlign w:val="bottom"/>
            <w:hideMark/>
          </w:tcPr>
          <w:p w:rsidR="00384FAD" w:rsidRPr="00384FAD" w:rsidRDefault="00384FAD" w:rsidP="00384FAD">
            <w:pPr>
              <w:spacing w:after="0" w:line="240" w:lineRule="auto"/>
              <w:rPr>
                <w:rFonts w:eastAsia="Times New Roman"/>
                <w:color w:val="000000"/>
                <w:lang w:eastAsia="en-GB"/>
              </w:rPr>
            </w:pPr>
            <w:r w:rsidRPr="00384FAD">
              <w:rPr>
                <w:rFonts w:eastAsia="Times New Roman"/>
                <w:color w:val="000000"/>
                <w:lang w:eastAsia="en-GB"/>
              </w:rPr>
              <w:t>Negatives, Brackets and Accounting Sense</w:t>
            </w:r>
          </w:p>
        </w:tc>
        <w:tc>
          <w:tcPr>
            <w:tcW w:w="2393" w:type="dxa"/>
            <w:tcBorders>
              <w:top w:val="nil"/>
              <w:left w:val="nil"/>
              <w:bottom w:val="nil"/>
              <w:right w:val="nil"/>
            </w:tcBorders>
            <w:shd w:val="clear" w:color="auto" w:fill="auto"/>
            <w:noWrap/>
            <w:vAlign w:val="bottom"/>
            <w:hideMark/>
          </w:tcPr>
          <w:p w:rsidR="00384FAD" w:rsidRPr="00384FAD" w:rsidRDefault="00BA0908" w:rsidP="00002C60">
            <w:pPr>
              <w:spacing w:after="0" w:line="240" w:lineRule="auto"/>
              <w:rPr>
                <w:rFonts w:eastAsia="Times New Roman"/>
                <w:color w:val="000000"/>
                <w:lang w:eastAsia="en-GB"/>
              </w:rPr>
            </w:pPr>
            <w:hyperlink r:id="rId61" w:history="1">
              <w:r w:rsidR="00934F77" w:rsidRPr="00934F77">
                <w:rPr>
                  <w:rStyle w:val="Hyperlink"/>
                  <w:rFonts w:eastAsia="Times New Roman"/>
                  <w:lang w:eastAsia="en-GB"/>
                </w:rPr>
                <w:t>Caroline Muggridge</w:t>
              </w:r>
            </w:hyperlink>
          </w:p>
        </w:tc>
      </w:tr>
    </w:tbl>
    <w:p w:rsidR="00E117B2" w:rsidRPr="00E117B2" w:rsidRDefault="00E117B2" w:rsidP="00384FAD">
      <w:pPr>
        <w:spacing w:after="0" w:line="240" w:lineRule="auto"/>
      </w:pPr>
    </w:p>
    <w:sectPr w:rsidR="00E117B2" w:rsidRPr="00E117B2" w:rsidSect="00E32E30">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43" w:rsidRDefault="00C92143" w:rsidP="00DC4057">
      <w:pPr>
        <w:spacing w:after="0" w:line="240" w:lineRule="auto"/>
      </w:pPr>
      <w:r>
        <w:separator/>
      </w:r>
    </w:p>
  </w:endnote>
  <w:endnote w:type="continuationSeparator" w:id="0">
    <w:p w:rsidR="00C92143" w:rsidRDefault="00C92143" w:rsidP="00DC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08" w:rsidRDefault="00BA0908" w:rsidP="00B9776A">
    <w:pPr>
      <w:pStyle w:val="Footer"/>
      <w:jc w:val="center"/>
    </w:pPr>
    <w:r>
      <w:tab/>
      <w:t xml:space="preserve">Page </w:t>
    </w:r>
    <w:r>
      <w:fldChar w:fldCharType="begin"/>
    </w:r>
    <w:r>
      <w:instrText xml:space="preserve"> PAGE   \* MERGEFORMAT </w:instrText>
    </w:r>
    <w:r>
      <w:fldChar w:fldCharType="separate"/>
    </w:r>
    <w:r w:rsidR="00DE7CE3">
      <w:rPr>
        <w:noProof/>
      </w:rPr>
      <w:t>14</w:t>
    </w:r>
    <w:r>
      <w:rPr>
        <w:noProof/>
      </w:rPr>
      <w:fldChar w:fldCharType="end"/>
    </w:r>
    <w:r>
      <w:tab/>
      <w:t>10-Oct-13</w:t>
    </w:r>
  </w:p>
  <w:p w:rsidR="00BA0908" w:rsidRDefault="00BA0908" w:rsidP="00B9776A">
    <w:pPr>
      <w:pStyle w:val="Footer"/>
      <w:jc w:val="center"/>
    </w:pPr>
    <w:r w:rsidRPr="00A05768">
      <w:t>Budget Centre Planning Guidance Version 1.0</w:t>
    </w:r>
    <w:r>
      <w:tab/>
    </w:r>
    <w:r>
      <w:tab/>
      <w:t>Issued &lt;date&gt;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43" w:rsidRDefault="00C92143" w:rsidP="00DC4057">
      <w:pPr>
        <w:spacing w:after="0" w:line="240" w:lineRule="auto"/>
      </w:pPr>
      <w:r>
        <w:separator/>
      </w:r>
    </w:p>
  </w:footnote>
  <w:footnote w:type="continuationSeparator" w:id="0">
    <w:p w:rsidR="00C92143" w:rsidRDefault="00C92143" w:rsidP="00DC4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C671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A1387"/>
    <w:multiLevelType w:val="hybridMultilevel"/>
    <w:tmpl w:val="946684D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06D4363A"/>
    <w:multiLevelType w:val="hybridMultilevel"/>
    <w:tmpl w:val="67B27DA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A742E6C"/>
    <w:multiLevelType w:val="hybridMultilevel"/>
    <w:tmpl w:val="5282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E48E5"/>
    <w:multiLevelType w:val="hybridMultilevel"/>
    <w:tmpl w:val="78B68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B2142"/>
    <w:multiLevelType w:val="hybridMultilevel"/>
    <w:tmpl w:val="25B4BB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F8726CF"/>
    <w:multiLevelType w:val="hybridMultilevel"/>
    <w:tmpl w:val="0540D6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2CF1BC2"/>
    <w:multiLevelType w:val="multilevel"/>
    <w:tmpl w:val="08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7F45F4"/>
    <w:multiLevelType w:val="hybridMultilevel"/>
    <w:tmpl w:val="DCA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4042B"/>
    <w:multiLevelType w:val="hybridMultilevel"/>
    <w:tmpl w:val="2136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1420B"/>
    <w:multiLevelType w:val="hybridMultilevel"/>
    <w:tmpl w:val="D7AC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A291C"/>
    <w:multiLevelType w:val="hybridMultilevel"/>
    <w:tmpl w:val="176C02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55658F5"/>
    <w:multiLevelType w:val="hybridMultilevel"/>
    <w:tmpl w:val="70106E18"/>
    <w:lvl w:ilvl="0" w:tplc="0809000F">
      <w:start w:val="1"/>
      <w:numFmt w:val="decimal"/>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13">
    <w:nsid w:val="3A016DB4"/>
    <w:multiLevelType w:val="hybridMultilevel"/>
    <w:tmpl w:val="A53C8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BF2910"/>
    <w:multiLevelType w:val="hybridMultilevel"/>
    <w:tmpl w:val="61D6E970"/>
    <w:lvl w:ilvl="0" w:tplc="2680464C">
      <w:start w:val="1"/>
      <w:numFmt w:val="decimal"/>
      <w:lvlText w:val="%1."/>
      <w:lvlJc w:val="left"/>
      <w:pPr>
        <w:ind w:left="720" w:hanging="360"/>
      </w:pPr>
      <w:rPr>
        <w:rFonts w:ascii="Calibri" w:hAnsi="Calibri" w:hint="default"/>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E4402BA"/>
    <w:multiLevelType w:val="hybridMultilevel"/>
    <w:tmpl w:val="EE62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64D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714851"/>
    <w:multiLevelType w:val="hybridMultilevel"/>
    <w:tmpl w:val="FD6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D6727"/>
    <w:multiLevelType w:val="hybridMultilevel"/>
    <w:tmpl w:val="81CCCE7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7D74EBF"/>
    <w:multiLevelType w:val="hybridMultilevel"/>
    <w:tmpl w:val="E4A29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A40712"/>
    <w:multiLevelType w:val="hybridMultilevel"/>
    <w:tmpl w:val="190C4AC0"/>
    <w:lvl w:ilvl="0" w:tplc="C9BEF510">
      <w:start w:val="1"/>
      <w:numFmt w:val="decimal"/>
      <w:lvlText w:val="D%1."/>
      <w:lvlJc w:val="left"/>
      <w:pPr>
        <w:tabs>
          <w:tab w:val="num" w:pos="720"/>
        </w:tabs>
        <w:ind w:left="720" w:hanging="720"/>
      </w:pPr>
    </w:lvl>
    <w:lvl w:ilvl="1" w:tplc="2BAA6624">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22518C"/>
    <w:multiLevelType w:val="hybridMultilevel"/>
    <w:tmpl w:val="80AE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94B0C"/>
    <w:multiLevelType w:val="hybridMultilevel"/>
    <w:tmpl w:val="BA7814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CEB1515"/>
    <w:multiLevelType w:val="hybridMultilevel"/>
    <w:tmpl w:val="19425AE8"/>
    <w:lvl w:ilvl="0" w:tplc="F8EE6B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591D34"/>
    <w:multiLevelType w:val="hybridMultilevel"/>
    <w:tmpl w:val="F358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74F41"/>
    <w:multiLevelType w:val="hybridMultilevel"/>
    <w:tmpl w:val="7C426B30"/>
    <w:lvl w:ilvl="0" w:tplc="17A0A96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180E3D"/>
    <w:multiLevelType w:val="hybridMultilevel"/>
    <w:tmpl w:val="F762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587508"/>
    <w:multiLevelType w:val="hybridMultilevel"/>
    <w:tmpl w:val="F432D634"/>
    <w:lvl w:ilvl="0" w:tplc="147C2D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E409F7"/>
    <w:multiLevelType w:val="multilevel"/>
    <w:tmpl w:val="0C404704"/>
    <w:lvl w:ilvl="0">
      <w:start w:val="1"/>
      <w:numFmt w:val="decimal"/>
      <w:lvlText w:val="%1."/>
      <w:lvlJc w:val="left"/>
      <w:pPr>
        <w:ind w:left="360" w:hanging="360"/>
      </w:pPr>
      <w:rPr>
        <w:rFonts w:ascii="Calibri" w:hAnsi="Calibri" w:hint="default"/>
      </w:rPr>
    </w:lvl>
    <w:lvl w:ilvl="1">
      <w:start w:val="1"/>
      <w:numFmt w:val="decimal"/>
      <w:isLgl/>
      <w:lvlText w:val="%1.%2"/>
      <w:lvlJc w:val="left"/>
      <w:pPr>
        <w:ind w:left="502" w:hanging="360"/>
      </w:pPr>
      <w:rPr>
        <w:rFonts w:ascii="Calibri" w:hAnsi="Calibri" w:hint="default"/>
        <w:i w:val="0"/>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9">
    <w:nsid w:val="59BF4571"/>
    <w:multiLevelType w:val="hybridMultilevel"/>
    <w:tmpl w:val="5386A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061180"/>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DF25BBC"/>
    <w:multiLevelType w:val="multilevel"/>
    <w:tmpl w:val="21669C0C"/>
    <w:lvl w:ilvl="0">
      <w:start w:val="1"/>
      <w:numFmt w:val="decimal"/>
      <w:lvlText w:val="%1."/>
      <w:lvlJc w:val="left"/>
      <w:pPr>
        <w:ind w:left="360" w:hanging="360"/>
      </w:pPr>
      <w:rPr>
        <w:rFonts w:ascii="Calibri" w:hAnsi="Calibr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A71427"/>
    <w:multiLevelType w:val="hybridMultilevel"/>
    <w:tmpl w:val="C1A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E6795E"/>
    <w:multiLevelType w:val="hybridMultilevel"/>
    <w:tmpl w:val="996E7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5F05"/>
    <w:multiLevelType w:val="hybridMultilevel"/>
    <w:tmpl w:val="D0BC36C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CE6486"/>
    <w:multiLevelType w:val="hybridMultilevel"/>
    <w:tmpl w:val="2F36A3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9050602"/>
    <w:multiLevelType w:val="hybridMultilevel"/>
    <w:tmpl w:val="4296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FE620A"/>
    <w:multiLevelType w:val="hybridMultilevel"/>
    <w:tmpl w:val="CA7C8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C10BD7"/>
    <w:multiLevelType w:val="hybridMultilevel"/>
    <w:tmpl w:val="C37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867D55"/>
    <w:multiLevelType w:val="multilevel"/>
    <w:tmpl w:val="15085B42"/>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num>
  <w:num w:numId="9">
    <w:abstractNumId w:val="16"/>
  </w:num>
  <w:num w:numId="10">
    <w:abstractNumId w:val="7"/>
  </w:num>
  <w:num w:numId="11">
    <w:abstractNumId w:val="30"/>
  </w:num>
  <w:num w:numId="12">
    <w:abstractNumId w:val="34"/>
  </w:num>
  <w:num w:numId="13">
    <w:abstractNumId w:val="13"/>
  </w:num>
  <w:num w:numId="14">
    <w:abstractNumId w:val="12"/>
  </w:num>
  <w:num w:numId="15">
    <w:abstractNumId w:val="12"/>
  </w:num>
  <w:num w:numId="16">
    <w:abstractNumId w:val="31"/>
  </w:num>
  <w:num w:numId="17">
    <w:abstractNumId w:val="23"/>
  </w:num>
  <w:num w:numId="18">
    <w:abstractNumId w:val="37"/>
  </w:num>
  <w:num w:numId="19">
    <w:abstractNumId w:val="3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7"/>
  </w:num>
  <w:num w:numId="27">
    <w:abstractNumId w:val="25"/>
  </w:num>
  <w:num w:numId="28">
    <w:abstractNumId w:val="0"/>
  </w:num>
  <w:num w:numId="29">
    <w:abstractNumId w:val="39"/>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num>
  <w:num w:numId="34">
    <w:abstractNumId w:val="1"/>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8"/>
  </w:num>
  <w:num w:numId="38">
    <w:abstractNumId w:val="27"/>
  </w:num>
  <w:num w:numId="39">
    <w:abstractNumId w:val="27"/>
  </w:num>
  <w:num w:numId="40">
    <w:abstractNumId w:val="33"/>
  </w:num>
  <w:num w:numId="41">
    <w:abstractNumId w:val="39"/>
  </w:num>
  <w:num w:numId="42">
    <w:abstractNumId w:val="21"/>
  </w:num>
  <w:num w:numId="43">
    <w:abstractNumId w:val="10"/>
  </w:num>
  <w:num w:numId="44">
    <w:abstractNumId w:val="8"/>
  </w:num>
  <w:num w:numId="45">
    <w:abstractNumId w:val="19"/>
  </w:num>
  <w:num w:numId="46">
    <w:abstractNumId w:val="9"/>
  </w:num>
  <w:num w:numId="47">
    <w:abstractNumId w:val="25"/>
    <w:lvlOverride w:ilvl="0">
      <w:startOverride w:val="1"/>
    </w:lvlOverride>
  </w:num>
  <w:num w:numId="48">
    <w:abstractNumId w:val="39"/>
  </w:num>
  <w:num w:numId="4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E0"/>
    <w:rsid w:val="00000686"/>
    <w:rsid w:val="00002C60"/>
    <w:rsid w:val="0000315D"/>
    <w:rsid w:val="00006E4C"/>
    <w:rsid w:val="0001061A"/>
    <w:rsid w:val="00010DF8"/>
    <w:rsid w:val="00011D23"/>
    <w:rsid w:val="00011FE3"/>
    <w:rsid w:val="0001525A"/>
    <w:rsid w:val="0001557C"/>
    <w:rsid w:val="00016030"/>
    <w:rsid w:val="000204CF"/>
    <w:rsid w:val="00020A48"/>
    <w:rsid w:val="00025E83"/>
    <w:rsid w:val="00027814"/>
    <w:rsid w:val="00034F2F"/>
    <w:rsid w:val="000416B9"/>
    <w:rsid w:val="00041C05"/>
    <w:rsid w:val="000420AD"/>
    <w:rsid w:val="00042A36"/>
    <w:rsid w:val="0006261E"/>
    <w:rsid w:val="00064CFB"/>
    <w:rsid w:val="00070EA4"/>
    <w:rsid w:val="000753E7"/>
    <w:rsid w:val="000770A9"/>
    <w:rsid w:val="00081B13"/>
    <w:rsid w:val="0008479C"/>
    <w:rsid w:val="0009016C"/>
    <w:rsid w:val="00091BC3"/>
    <w:rsid w:val="00095F1D"/>
    <w:rsid w:val="000A3096"/>
    <w:rsid w:val="000A4E8A"/>
    <w:rsid w:val="000B7435"/>
    <w:rsid w:val="000C1B87"/>
    <w:rsid w:val="000C5E89"/>
    <w:rsid w:val="000D6873"/>
    <w:rsid w:val="000E1CBE"/>
    <w:rsid w:val="000E1E93"/>
    <w:rsid w:val="000E2501"/>
    <w:rsid w:val="000E3B4A"/>
    <w:rsid w:val="000F4CBD"/>
    <w:rsid w:val="001007DB"/>
    <w:rsid w:val="00101B4B"/>
    <w:rsid w:val="001068E0"/>
    <w:rsid w:val="00106E76"/>
    <w:rsid w:val="00112CD8"/>
    <w:rsid w:val="00113B1F"/>
    <w:rsid w:val="001141A5"/>
    <w:rsid w:val="00115128"/>
    <w:rsid w:val="00117BAB"/>
    <w:rsid w:val="00121BCD"/>
    <w:rsid w:val="001272C4"/>
    <w:rsid w:val="00127B86"/>
    <w:rsid w:val="001312ED"/>
    <w:rsid w:val="0013525C"/>
    <w:rsid w:val="00136636"/>
    <w:rsid w:val="00136758"/>
    <w:rsid w:val="00137D73"/>
    <w:rsid w:val="00151CDD"/>
    <w:rsid w:val="00160591"/>
    <w:rsid w:val="00161E4C"/>
    <w:rsid w:val="00171614"/>
    <w:rsid w:val="00184E45"/>
    <w:rsid w:val="00185476"/>
    <w:rsid w:val="00192950"/>
    <w:rsid w:val="0019409F"/>
    <w:rsid w:val="001967A9"/>
    <w:rsid w:val="001A05AA"/>
    <w:rsid w:val="001A0AB7"/>
    <w:rsid w:val="001A0D1D"/>
    <w:rsid w:val="001A0F45"/>
    <w:rsid w:val="001B3BD9"/>
    <w:rsid w:val="001B3EA4"/>
    <w:rsid w:val="001C1575"/>
    <w:rsid w:val="001C6A7F"/>
    <w:rsid w:val="001C7C88"/>
    <w:rsid w:val="001E32AA"/>
    <w:rsid w:val="001F06E3"/>
    <w:rsid w:val="001F11E8"/>
    <w:rsid w:val="001F2949"/>
    <w:rsid w:val="001F3413"/>
    <w:rsid w:val="001F429C"/>
    <w:rsid w:val="001F43D8"/>
    <w:rsid w:val="002012C0"/>
    <w:rsid w:val="00203833"/>
    <w:rsid w:val="00212852"/>
    <w:rsid w:val="00212A2C"/>
    <w:rsid w:val="00220C20"/>
    <w:rsid w:val="002261F7"/>
    <w:rsid w:val="00226631"/>
    <w:rsid w:val="00233E78"/>
    <w:rsid w:val="00240376"/>
    <w:rsid w:val="00243D5F"/>
    <w:rsid w:val="00245ADE"/>
    <w:rsid w:val="00246474"/>
    <w:rsid w:val="00247676"/>
    <w:rsid w:val="0025444B"/>
    <w:rsid w:val="0025750D"/>
    <w:rsid w:val="00261FAE"/>
    <w:rsid w:val="00265487"/>
    <w:rsid w:val="002662D7"/>
    <w:rsid w:val="00267DBE"/>
    <w:rsid w:val="00280FF5"/>
    <w:rsid w:val="00280FF8"/>
    <w:rsid w:val="00282558"/>
    <w:rsid w:val="002A35B5"/>
    <w:rsid w:val="002A3EF9"/>
    <w:rsid w:val="002A5FE7"/>
    <w:rsid w:val="002A75E6"/>
    <w:rsid w:val="002B5DA9"/>
    <w:rsid w:val="002C7F6C"/>
    <w:rsid w:val="002D3B1C"/>
    <w:rsid w:val="002E554B"/>
    <w:rsid w:val="002E5685"/>
    <w:rsid w:val="002F1B8F"/>
    <w:rsid w:val="002F200B"/>
    <w:rsid w:val="002F32BD"/>
    <w:rsid w:val="002F4FA9"/>
    <w:rsid w:val="002F5B4C"/>
    <w:rsid w:val="002F7CC5"/>
    <w:rsid w:val="00301D62"/>
    <w:rsid w:val="00302316"/>
    <w:rsid w:val="0030402E"/>
    <w:rsid w:val="00306F6E"/>
    <w:rsid w:val="00307945"/>
    <w:rsid w:val="00316A89"/>
    <w:rsid w:val="00323513"/>
    <w:rsid w:val="0032366A"/>
    <w:rsid w:val="00331102"/>
    <w:rsid w:val="0033142E"/>
    <w:rsid w:val="00336B1E"/>
    <w:rsid w:val="00336B4C"/>
    <w:rsid w:val="00337509"/>
    <w:rsid w:val="00344D84"/>
    <w:rsid w:val="00346B3A"/>
    <w:rsid w:val="0035180B"/>
    <w:rsid w:val="00351B1A"/>
    <w:rsid w:val="00355674"/>
    <w:rsid w:val="00364BDC"/>
    <w:rsid w:val="003717B8"/>
    <w:rsid w:val="00372E7C"/>
    <w:rsid w:val="003779AC"/>
    <w:rsid w:val="00377FCB"/>
    <w:rsid w:val="00384FAD"/>
    <w:rsid w:val="00385059"/>
    <w:rsid w:val="00385AED"/>
    <w:rsid w:val="00387A70"/>
    <w:rsid w:val="00390B3E"/>
    <w:rsid w:val="003B3973"/>
    <w:rsid w:val="003B49A4"/>
    <w:rsid w:val="003C0894"/>
    <w:rsid w:val="003D442F"/>
    <w:rsid w:val="003D590A"/>
    <w:rsid w:val="003E4ADA"/>
    <w:rsid w:val="003E58D3"/>
    <w:rsid w:val="003E6010"/>
    <w:rsid w:val="003F1C10"/>
    <w:rsid w:val="0041027C"/>
    <w:rsid w:val="004126B4"/>
    <w:rsid w:val="0041607B"/>
    <w:rsid w:val="004306F8"/>
    <w:rsid w:val="00432488"/>
    <w:rsid w:val="00433116"/>
    <w:rsid w:val="004403A4"/>
    <w:rsid w:val="00444613"/>
    <w:rsid w:val="00446431"/>
    <w:rsid w:val="00447BDD"/>
    <w:rsid w:val="004515C9"/>
    <w:rsid w:val="00453CFB"/>
    <w:rsid w:val="004555DB"/>
    <w:rsid w:val="0045596A"/>
    <w:rsid w:val="00460C16"/>
    <w:rsid w:val="004613C4"/>
    <w:rsid w:val="0046580D"/>
    <w:rsid w:val="004735FB"/>
    <w:rsid w:val="004740C5"/>
    <w:rsid w:val="00496886"/>
    <w:rsid w:val="00497524"/>
    <w:rsid w:val="004B2758"/>
    <w:rsid w:val="004B344E"/>
    <w:rsid w:val="004B5E16"/>
    <w:rsid w:val="004B772B"/>
    <w:rsid w:val="004C0469"/>
    <w:rsid w:val="004C54B2"/>
    <w:rsid w:val="004C5E48"/>
    <w:rsid w:val="004D04B5"/>
    <w:rsid w:val="004E0CFC"/>
    <w:rsid w:val="004E1ABD"/>
    <w:rsid w:val="004F72F2"/>
    <w:rsid w:val="00500744"/>
    <w:rsid w:val="00507AD7"/>
    <w:rsid w:val="00512575"/>
    <w:rsid w:val="0051312B"/>
    <w:rsid w:val="00520906"/>
    <w:rsid w:val="00521BE4"/>
    <w:rsid w:val="00541663"/>
    <w:rsid w:val="0055097C"/>
    <w:rsid w:val="00553422"/>
    <w:rsid w:val="00554D47"/>
    <w:rsid w:val="00557FBB"/>
    <w:rsid w:val="005603F7"/>
    <w:rsid w:val="00563E2C"/>
    <w:rsid w:val="005731FC"/>
    <w:rsid w:val="005736B2"/>
    <w:rsid w:val="005740B5"/>
    <w:rsid w:val="00575B81"/>
    <w:rsid w:val="00581143"/>
    <w:rsid w:val="00585C1C"/>
    <w:rsid w:val="005909BF"/>
    <w:rsid w:val="00594766"/>
    <w:rsid w:val="005A37F6"/>
    <w:rsid w:val="005B2D11"/>
    <w:rsid w:val="005C2762"/>
    <w:rsid w:val="005C4037"/>
    <w:rsid w:val="005D09F7"/>
    <w:rsid w:val="005F454A"/>
    <w:rsid w:val="005F76AA"/>
    <w:rsid w:val="00601E5C"/>
    <w:rsid w:val="00607EBB"/>
    <w:rsid w:val="00610E6A"/>
    <w:rsid w:val="00611C51"/>
    <w:rsid w:val="00613D69"/>
    <w:rsid w:val="00614253"/>
    <w:rsid w:val="00620926"/>
    <w:rsid w:val="00620B10"/>
    <w:rsid w:val="00622C81"/>
    <w:rsid w:val="0063104C"/>
    <w:rsid w:val="006319FD"/>
    <w:rsid w:val="00634569"/>
    <w:rsid w:val="00634C0F"/>
    <w:rsid w:val="00641C51"/>
    <w:rsid w:val="006559B1"/>
    <w:rsid w:val="0066093E"/>
    <w:rsid w:val="00661E13"/>
    <w:rsid w:val="00663FAF"/>
    <w:rsid w:val="00665785"/>
    <w:rsid w:val="00665FDE"/>
    <w:rsid w:val="00667401"/>
    <w:rsid w:val="00674BBB"/>
    <w:rsid w:val="00675DE7"/>
    <w:rsid w:val="006833F2"/>
    <w:rsid w:val="00685410"/>
    <w:rsid w:val="00685F16"/>
    <w:rsid w:val="00697330"/>
    <w:rsid w:val="006A453E"/>
    <w:rsid w:val="006A56BE"/>
    <w:rsid w:val="006A5B57"/>
    <w:rsid w:val="006B1C91"/>
    <w:rsid w:val="006B1DE9"/>
    <w:rsid w:val="006B3F50"/>
    <w:rsid w:val="006B4158"/>
    <w:rsid w:val="006B48FF"/>
    <w:rsid w:val="006B6D08"/>
    <w:rsid w:val="006C30C1"/>
    <w:rsid w:val="006C5B34"/>
    <w:rsid w:val="006D154C"/>
    <w:rsid w:val="006D1D53"/>
    <w:rsid w:val="006D6140"/>
    <w:rsid w:val="006D71EB"/>
    <w:rsid w:val="00701F0E"/>
    <w:rsid w:val="00711B5D"/>
    <w:rsid w:val="00711CA0"/>
    <w:rsid w:val="00712539"/>
    <w:rsid w:val="00712E8E"/>
    <w:rsid w:val="007200E2"/>
    <w:rsid w:val="007222B7"/>
    <w:rsid w:val="00722504"/>
    <w:rsid w:val="00733CEA"/>
    <w:rsid w:val="0073463D"/>
    <w:rsid w:val="00740679"/>
    <w:rsid w:val="00741FCC"/>
    <w:rsid w:val="00753EBF"/>
    <w:rsid w:val="00756BE4"/>
    <w:rsid w:val="00766270"/>
    <w:rsid w:val="00767550"/>
    <w:rsid w:val="00774522"/>
    <w:rsid w:val="007807F4"/>
    <w:rsid w:val="007848CB"/>
    <w:rsid w:val="00785A6D"/>
    <w:rsid w:val="007930F6"/>
    <w:rsid w:val="007B42CC"/>
    <w:rsid w:val="007B59E8"/>
    <w:rsid w:val="007B75F0"/>
    <w:rsid w:val="007C194C"/>
    <w:rsid w:val="007C242B"/>
    <w:rsid w:val="007C5D3F"/>
    <w:rsid w:val="007D0A91"/>
    <w:rsid w:val="007D7B33"/>
    <w:rsid w:val="007E3752"/>
    <w:rsid w:val="007E55A1"/>
    <w:rsid w:val="007E6CDA"/>
    <w:rsid w:val="00801235"/>
    <w:rsid w:val="00802698"/>
    <w:rsid w:val="00804AC8"/>
    <w:rsid w:val="00806CFE"/>
    <w:rsid w:val="00811F6A"/>
    <w:rsid w:val="008144B8"/>
    <w:rsid w:val="00817B13"/>
    <w:rsid w:val="00825AD2"/>
    <w:rsid w:val="00840122"/>
    <w:rsid w:val="00845AD1"/>
    <w:rsid w:val="008506C2"/>
    <w:rsid w:val="00860242"/>
    <w:rsid w:val="008628F4"/>
    <w:rsid w:val="008632BC"/>
    <w:rsid w:val="008645D8"/>
    <w:rsid w:val="00876987"/>
    <w:rsid w:val="008857CE"/>
    <w:rsid w:val="00886B83"/>
    <w:rsid w:val="0088733E"/>
    <w:rsid w:val="00891094"/>
    <w:rsid w:val="00892A80"/>
    <w:rsid w:val="00892E18"/>
    <w:rsid w:val="008A2DE3"/>
    <w:rsid w:val="008A4A38"/>
    <w:rsid w:val="008A7DD0"/>
    <w:rsid w:val="008B3EB3"/>
    <w:rsid w:val="008B7099"/>
    <w:rsid w:val="008B7EAE"/>
    <w:rsid w:val="008C0FA6"/>
    <w:rsid w:val="008C314E"/>
    <w:rsid w:val="008D1D15"/>
    <w:rsid w:val="008D4FE6"/>
    <w:rsid w:val="008E0801"/>
    <w:rsid w:val="008E2F23"/>
    <w:rsid w:val="008F5CDB"/>
    <w:rsid w:val="00903268"/>
    <w:rsid w:val="009066A1"/>
    <w:rsid w:val="00906B46"/>
    <w:rsid w:val="0091702A"/>
    <w:rsid w:val="00924556"/>
    <w:rsid w:val="0092590E"/>
    <w:rsid w:val="00925E98"/>
    <w:rsid w:val="009304C5"/>
    <w:rsid w:val="00934F77"/>
    <w:rsid w:val="00936B6E"/>
    <w:rsid w:val="0093761C"/>
    <w:rsid w:val="00940208"/>
    <w:rsid w:val="0095208B"/>
    <w:rsid w:val="0096399D"/>
    <w:rsid w:val="009641F4"/>
    <w:rsid w:val="00971B8F"/>
    <w:rsid w:val="00971CEF"/>
    <w:rsid w:val="00974B8D"/>
    <w:rsid w:val="00981CD6"/>
    <w:rsid w:val="009838E7"/>
    <w:rsid w:val="00985D52"/>
    <w:rsid w:val="00997839"/>
    <w:rsid w:val="00997B4F"/>
    <w:rsid w:val="00997DAE"/>
    <w:rsid w:val="009A1AE1"/>
    <w:rsid w:val="009B051F"/>
    <w:rsid w:val="009B1EB2"/>
    <w:rsid w:val="009B2F01"/>
    <w:rsid w:val="009C7CC5"/>
    <w:rsid w:val="009D31E3"/>
    <w:rsid w:val="009D34EF"/>
    <w:rsid w:val="009E1E2A"/>
    <w:rsid w:val="009E734B"/>
    <w:rsid w:val="009F28DB"/>
    <w:rsid w:val="009F50BB"/>
    <w:rsid w:val="00A00375"/>
    <w:rsid w:val="00A0275C"/>
    <w:rsid w:val="00A030A1"/>
    <w:rsid w:val="00A05768"/>
    <w:rsid w:val="00A1739D"/>
    <w:rsid w:val="00A228CC"/>
    <w:rsid w:val="00A30333"/>
    <w:rsid w:val="00A337C5"/>
    <w:rsid w:val="00A36EAB"/>
    <w:rsid w:val="00A4064C"/>
    <w:rsid w:val="00A41C3A"/>
    <w:rsid w:val="00A47BA7"/>
    <w:rsid w:val="00A51755"/>
    <w:rsid w:val="00A549A3"/>
    <w:rsid w:val="00A65136"/>
    <w:rsid w:val="00A66DBD"/>
    <w:rsid w:val="00A701EC"/>
    <w:rsid w:val="00A7148A"/>
    <w:rsid w:val="00A741CA"/>
    <w:rsid w:val="00A83B82"/>
    <w:rsid w:val="00A8489D"/>
    <w:rsid w:val="00A87451"/>
    <w:rsid w:val="00AB0E6A"/>
    <w:rsid w:val="00AB2D62"/>
    <w:rsid w:val="00AC3A43"/>
    <w:rsid w:val="00AC4576"/>
    <w:rsid w:val="00AC6A3A"/>
    <w:rsid w:val="00AC6A53"/>
    <w:rsid w:val="00AC72F1"/>
    <w:rsid w:val="00AD32D9"/>
    <w:rsid w:val="00AD3BD3"/>
    <w:rsid w:val="00AD62D3"/>
    <w:rsid w:val="00AD65B1"/>
    <w:rsid w:val="00AE1BCC"/>
    <w:rsid w:val="00AE70E7"/>
    <w:rsid w:val="00AF0E9C"/>
    <w:rsid w:val="00AF7736"/>
    <w:rsid w:val="00B0019E"/>
    <w:rsid w:val="00B022FF"/>
    <w:rsid w:val="00B0476E"/>
    <w:rsid w:val="00B06CA5"/>
    <w:rsid w:val="00B111EF"/>
    <w:rsid w:val="00B13DC6"/>
    <w:rsid w:val="00B27BA4"/>
    <w:rsid w:val="00B3220A"/>
    <w:rsid w:val="00B33891"/>
    <w:rsid w:val="00B4475A"/>
    <w:rsid w:val="00B46039"/>
    <w:rsid w:val="00B50F5F"/>
    <w:rsid w:val="00B573E0"/>
    <w:rsid w:val="00B60049"/>
    <w:rsid w:val="00B6109F"/>
    <w:rsid w:val="00B621A9"/>
    <w:rsid w:val="00B64915"/>
    <w:rsid w:val="00B6628B"/>
    <w:rsid w:val="00B67535"/>
    <w:rsid w:val="00B72527"/>
    <w:rsid w:val="00B72EBA"/>
    <w:rsid w:val="00B75050"/>
    <w:rsid w:val="00B82520"/>
    <w:rsid w:val="00B82C68"/>
    <w:rsid w:val="00B85EFD"/>
    <w:rsid w:val="00B876E0"/>
    <w:rsid w:val="00B938F3"/>
    <w:rsid w:val="00B94AAE"/>
    <w:rsid w:val="00B94CF0"/>
    <w:rsid w:val="00B9776A"/>
    <w:rsid w:val="00BA07FA"/>
    <w:rsid w:val="00BA0908"/>
    <w:rsid w:val="00BA476E"/>
    <w:rsid w:val="00BC3F3B"/>
    <w:rsid w:val="00BC4204"/>
    <w:rsid w:val="00BC5FD8"/>
    <w:rsid w:val="00BC777D"/>
    <w:rsid w:val="00BD1E4B"/>
    <w:rsid w:val="00BD5C7C"/>
    <w:rsid w:val="00BE1973"/>
    <w:rsid w:val="00BE2BD5"/>
    <w:rsid w:val="00BE3EF1"/>
    <w:rsid w:val="00C0131E"/>
    <w:rsid w:val="00C03664"/>
    <w:rsid w:val="00C12666"/>
    <w:rsid w:val="00C12E2C"/>
    <w:rsid w:val="00C177C6"/>
    <w:rsid w:val="00C23163"/>
    <w:rsid w:val="00C23441"/>
    <w:rsid w:val="00C24BDE"/>
    <w:rsid w:val="00C31CA4"/>
    <w:rsid w:val="00C3433F"/>
    <w:rsid w:val="00C359AD"/>
    <w:rsid w:val="00C40217"/>
    <w:rsid w:val="00C4089D"/>
    <w:rsid w:val="00C416E3"/>
    <w:rsid w:val="00C41D04"/>
    <w:rsid w:val="00C45A77"/>
    <w:rsid w:val="00C467E7"/>
    <w:rsid w:val="00C46C4C"/>
    <w:rsid w:val="00C50B8B"/>
    <w:rsid w:val="00C512F4"/>
    <w:rsid w:val="00C613AC"/>
    <w:rsid w:val="00C73B01"/>
    <w:rsid w:val="00C74006"/>
    <w:rsid w:val="00C7476E"/>
    <w:rsid w:val="00C74E8B"/>
    <w:rsid w:val="00C83754"/>
    <w:rsid w:val="00C8424D"/>
    <w:rsid w:val="00C92143"/>
    <w:rsid w:val="00C9281C"/>
    <w:rsid w:val="00C978F1"/>
    <w:rsid w:val="00CA2497"/>
    <w:rsid w:val="00CA363D"/>
    <w:rsid w:val="00CA4321"/>
    <w:rsid w:val="00CA551E"/>
    <w:rsid w:val="00CB3DE1"/>
    <w:rsid w:val="00CC4575"/>
    <w:rsid w:val="00CE4006"/>
    <w:rsid w:val="00CF0615"/>
    <w:rsid w:val="00CF0844"/>
    <w:rsid w:val="00CF23D0"/>
    <w:rsid w:val="00CF770A"/>
    <w:rsid w:val="00D01E23"/>
    <w:rsid w:val="00D0530F"/>
    <w:rsid w:val="00D11940"/>
    <w:rsid w:val="00D156E3"/>
    <w:rsid w:val="00D17088"/>
    <w:rsid w:val="00D20732"/>
    <w:rsid w:val="00D34F0D"/>
    <w:rsid w:val="00D52E8A"/>
    <w:rsid w:val="00D6781E"/>
    <w:rsid w:val="00D720F9"/>
    <w:rsid w:val="00D74028"/>
    <w:rsid w:val="00D75217"/>
    <w:rsid w:val="00D754D0"/>
    <w:rsid w:val="00D94B0D"/>
    <w:rsid w:val="00DA0898"/>
    <w:rsid w:val="00DA0D54"/>
    <w:rsid w:val="00DB018F"/>
    <w:rsid w:val="00DB218E"/>
    <w:rsid w:val="00DB5E66"/>
    <w:rsid w:val="00DB70D2"/>
    <w:rsid w:val="00DC4057"/>
    <w:rsid w:val="00DE0152"/>
    <w:rsid w:val="00DE5C4A"/>
    <w:rsid w:val="00DE78CF"/>
    <w:rsid w:val="00DE7CE3"/>
    <w:rsid w:val="00DF07C5"/>
    <w:rsid w:val="00DF0AC4"/>
    <w:rsid w:val="00DF4FCB"/>
    <w:rsid w:val="00DF6067"/>
    <w:rsid w:val="00DF629A"/>
    <w:rsid w:val="00DF6848"/>
    <w:rsid w:val="00E0216C"/>
    <w:rsid w:val="00E03964"/>
    <w:rsid w:val="00E05AE3"/>
    <w:rsid w:val="00E06556"/>
    <w:rsid w:val="00E10650"/>
    <w:rsid w:val="00E1101C"/>
    <w:rsid w:val="00E117B2"/>
    <w:rsid w:val="00E244CC"/>
    <w:rsid w:val="00E26298"/>
    <w:rsid w:val="00E2649C"/>
    <w:rsid w:val="00E27752"/>
    <w:rsid w:val="00E32E30"/>
    <w:rsid w:val="00E33D00"/>
    <w:rsid w:val="00E4227E"/>
    <w:rsid w:val="00E43B8A"/>
    <w:rsid w:val="00E44D07"/>
    <w:rsid w:val="00E47A56"/>
    <w:rsid w:val="00E54893"/>
    <w:rsid w:val="00E61159"/>
    <w:rsid w:val="00E661C7"/>
    <w:rsid w:val="00E67CE5"/>
    <w:rsid w:val="00E8240E"/>
    <w:rsid w:val="00E8247B"/>
    <w:rsid w:val="00E97810"/>
    <w:rsid w:val="00E97DD5"/>
    <w:rsid w:val="00EA07AD"/>
    <w:rsid w:val="00EA1FBE"/>
    <w:rsid w:val="00EA6AE3"/>
    <w:rsid w:val="00EB395D"/>
    <w:rsid w:val="00EC2834"/>
    <w:rsid w:val="00EC6AF2"/>
    <w:rsid w:val="00ED4CAA"/>
    <w:rsid w:val="00ED5D99"/>
    <w:rsid w:val="00EE1A2E"/>
    <w:rsid w:val="00EE264E"/>
    <w:rsid w:val="00EE2BF9"/>
    <w:rsid w:val="00EE41DB"/>
    <w:rsid w:val="00EE5BC6"/>
    <w:rsid w:val="00EE7BFE"/>
    <w:rsid w:val="00F000CD"/>
    <w:rsid w:val="00F02830"/>
    <w:rsid w:val="00F0609F"/>
    <w:rsid w:val="00F07DC9"/>
    <w:rsid w:val="00F10E2E"/>
    <w:rsid w:val="00F13916"/>
    <w:rsid w:val="00F234E0"/>
    <w:rsid w:val="00F268A9"/>
    <w:rsid w:val="00F3071C"/>
    <w:rsid w:val="00F35A8C"/>
    <w:rsid w:val="00F36AEA"/>
    <w:rsid w:val="00F42A02"/>
    <w:rsid w:val="00F44A17"/>
    <w:rsid w:val="00F575CA"/>
    <w:rsid w:val="00F60377"/>
    <w:rsid w:val="00F613F8"/>
    <w:rsid w:val="00F6162B"/>
    <w:rsid w:val="00F638E6"/>
    <w:rsid w:val="00F659D5"/>
    <w:rsid w:val="00F71EE4"/>
    <w:rsid w:val="00F74044"/>
    <w:rsid w:val="00F77ECC"/>
    <w:rsid w:val="00F81259"/>
    <w:rsid w:val="00F835E5"/>
    <w:rsid w:val="00F86C9A"/>
    <w:rsid w:val="00F92A2F"/>
    <w:rsid w:val="00F96F6A"/>
    <w:rsid w:val="00FA7D08"/>
    <w:rsid w:val="00FB140D"/>
    <w:rsid w:val="00FC0896"/>
    <w:rsid w:val="00FC28CC"/>
    <w:rsid w:val="00FD148E"/>
    <w:rsid w:val="00FE1723"/>
    <w:rsid w:val="00FE6014"/>
    <w:rsid w:val="00FF73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6A"/>
    <w:pPr>
      <w:spacing w:after="200" w:line="276" w:lineRule="auto"/>
    </w:pPr>
    <w:rPr>
      <w:sz w:val="22"/>
      <w:szCs w:val="22"/>
      <w:lang w:eastAsia="en-US"/>
    </w:rPr>
  </w:style>
  <w:style w:type="paragraph" w:styleId="Heading1">
    <w:name w:val="heading 1"/>
    <w:basedOn w:val="Normal"/>
    <w:next w:val="Normal"/>
    <w:link w:val="Heading1Char"/>
    <w:uiPriority w:val="9"/>
    <w:qFormat/>
    <w:rsid w:val="009978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B72527"/>
    <w:pPr>
      <w:keepNext/>
      <w:keepLines/>
      <w:numPr>
        <w:numId w:val="2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03833"/>
    <w:pPr>
      <w:keepNext/>
      <w:keepLines/>
      <w:numPr>
        <w:numId w:val="2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9783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1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1B1A"/>
  </w:style>
  <w:style w:type="table" w:styleId="LightShading-Accent3">
    <w:name w:val="Light Shading Accent 3"/>
    <w:basedOn w:val="TableNormal"/>
    <w:uiPriority w:val="60"/>
    <w:rsid w:val="000753E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1Char">
    <w:name w:val="Heading 1 Char"/>
    <w:basedOn w:val="DefaultParagraphFont"/>
    <w:link w:val="Heading1"/>
    <w:uiPriority w:val="9"/>
    <w:rsid w:val="009978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725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203833"/>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997839"/>
    <w:rPr>
      <w:rFonts w:ascii="Cambria" w:eastAsia="Times New Roman" w:hAnsi="Cambria" w:cs="Times New Roman"/>
      <w:b/>
      <w:bCs/>
      <w:i/>
      <w:iCs/>
      <w:color w:val="4F81BD"/>
    </w:rPr>
  </w:style>
  <w:style w:type="paragraph" w:styleId="BalloonText">
    <w:name w:val="Balloon Text"/>
    <w:basedOn w:val="Normal"/>
    <w:link w:val="BalloonTextChar"/>
    <w:uiPriority w:val="99"/>
    <w:semiHidden/>
    <w:unhideWhenUsed/>
    <w:rsid w:val="0061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53"/>
    <w:rPr>
      <w:rFonts w:ascii="Tahoma" w:hAnsi="Tahoma" w:cs="Tahoma"/>
      <w:sz w:val="16"/>
      <w:szCs w:val="16"/>
    </w:rPr>
  </w:style>
  <w:style w:type="paragraph" w:styleId="TOCHeading">
    <w:name w:val="TOC Heading"/>
    <w:basedOn w:val="Heading1"/>
    <w:next w:val="Normal"/>
    <w:uiPriority w:val="39"/>
    <w:semiHidden/>
    <w:unhideWhenUsed/>
    <w:qFormat/>
    <w:rsid w:val="00712539"/>
    <w:pPr>
      <w:outlineLvl w:val="9"/>
    </w:pPr>
    <w:rPr>
      <w:lang w:val="en-US"/>
    </w:rPr>
  </w:style>
  <w:style w:type="paragraph" w:styleId="TOC1">
    <w:name w:val="toc 1"/>
    <w:basedOn w:val="Normal"/>
    <w:next w:val="Normal"/>
    <w:autoRedefine/>
    <w:uiPriority w:val="39"/>
    <w:unhideWhenUsed/>
    <w:rsid w:val="00712539"/>
    <w:pPr>
      <w:spacing w:after="100"/>
    </w:pPr>
  </w:style>
  <w:style w:type="paragraph" w:styleId="TOC2">
    <w:name w:val="toc 2"/>
    <w:basedOn w:val="Normal"/>
    <w:next w:val="Normal"/>
    <w:autoRedefine/>
    <w:uiPriority w:val="39"/>
    <w:unhideWhenUsed/>
    <w:rsid w:val="00712539"/>
    <w:pPr>
      <w:spacing w:after="100"/>
      <w:ind w:left="220"/>
    </w:pPr>
  </w:style>
  <w:style w:type="character" w:styleId="Hyperlink">
    <w:name w:val="Hyperlink"/>
    <w:basedOn w:val="DefaultParagraphFont"/>
    <w:uiPriority w:val="99"/>
    <w:unhideWhenUsed/>
    <w:rsid w:val="00712539"/>
    <w:rPr>
      <w:color w:val="0000FF"/>
      <w:u w:val="single"/>
    </w:rPr>
  </w:style>
  <w:style w:type="paragraph" w:styleId="Header">
    <w:name w:val="header"/>
    <w:basedOn w:val="Normal"/>
    <w:link w:val="HeaderChar"/>
    <w:uiPriority w:val="99"/>
    <w:unhideWhenUsed/>
    <w:rsid w:val="00DC4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57"/>
  </w:style>
  <w:style w:type="paragraph" w:styleId="Footer">
    <w:name w:val="footer"/>
    <w:basedOn w:val="Normal"/>
    <w:link w:val="FooterChar"/>
    <w:uiPriority w:val="99"/>
    <w:unhideWhenUsed/>
    <w:rsid w:val="00DC4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57"/>
  </w:style>
  <w:style w:type="character" w:styleId="CommentReference">
    <w:name w:val="annotation reference"/>
    <w:basedOn w:val="DefaultParagraphFont"/>
    <w:uiPriority w:val="99"/>
    <w:semiHidden/>
    <w:unhideWhenUsed/>
    <w:rsid w:val="00BE2BD5"/>
    <w:rPr>
      <w:sz w:val="16"/>
      <w:szCs w:val="16"/>
    </w:rPr>
  </w:style>
  <w:style w:type="paragraph" w:styleId="CommentText">
    <w:name w:val="annotation text"/>
    <w:basedOn w:val="Normal"/>
    <w:link w:val="CommentTextChar"/>
    <w:uiPriority w:val="99"/>
    <w:semiHidden/>
    <w:unhideWhenUsed/>
    <w:rsid w:val="00BE2BD5"/>
    <w:rPr>
      <w:sz w:val="20"/>
      <w:szCs w:val="20"/>
    </w:rPr>
  </w:style>
  <w:style w:type="character" w:customStyle="1" w:styleId="CommentTextChar">
    <w:name w:val="Comment Text Char"/>
    <w:basedOn w:val="DefaultParagraphFont"/>
    <w:link w:val="CommentText"/>
    <w:uiPriority w:val="99"/>
    <w:semiHidden/>
    <w:rsid w:val="00BE2BD5"/>
    <w:rPr>
      <w:lang w:eastAsia="en-US"/>
    </w:rPr>
  </w:style>
  <w:style w:type="paragraph" w:styleId="CommentSubject">
    <w:name w:val="annotation subject"/>
    <w:basedOn w:val="CommentText"/>
    <w:next w:val="CommentText"/>
    <w:link w:val="CommentSubjectChar"/>
    <w:uiPriority w:val="99"/>
    <w:semiHidden/>
    <w:unhideWhenUsed/>
    <w:rsid w:val="00BE2BD5"/>
    <w:rPr>
      <w:b/>
      <w:bCs/>
    </w:rPr>
  </w:style>
  <w:style w:type="character" w:customStyle="1" w:styleId="CommentSubjectChar">
    <w:name w:val="Comment Subject Char"/>
    <w:basedOn w:val="CommentTextChar"/>
    <w:link w:val="CommentSubject"/>
    <w:uiPriority w:val="99"/>
    <w:semiHidden/>
    <w:rsid w:val="00BE2BD5"/>
    <w:rPr>
      <w:b/>
      <w:bCs/>
      <w:lang w:eastAsia="en-US"/>
    </w:rPr>
  </w:style>
  <w:style w:type="paragraph" w:styleId="Revision">
    <w:name w:val="Revision"/>
    <w:hidden/>
    <w:uiPriority w:val="99"/>
    <w:semiHidden/>
    <w:rsid w:val="006D6140"/>
    <w:rPr>
      <w:sz w:val="22"/>
      <w:szCs w:val="22"/>
      <w:lang w:eastAsia="en-US"/>
    </w:rPr>
  </w:style>
  <w:style w:type="paragraph" w:styleId="NoSpacing">
    <w:name w:val="No Spacing"/>
    <w:uiPriority w:val="1"/>
    <w:qFormat/>
    <w:rsid w:val="00B938F3"/>
    <w:rPr>
      <w:sz w:val="22"/>
      <w:szCs w:val="22"/>
      <w:lang w:eastAsia="en-US"/>
    </w:rPr>
  </w:style>
  <w:style w:type="paragraph" w:customStyle="1" w:styleId="NoSpacing1">
    <w:name w:val="No Spacing1"/>
    <w:link w:val="NoSpacingChar"/>
    <w:uiPriority w:val="1"/>
    <w:qFormat/>
    <w:rsid w:val="009D31E3"/>
    <w:pPr>
      <w:jc w:val="both"/>
    </w:pPr>
    <w:rPr>
      <w:rFonts w:eastAsia="Times New Roman"/>
      <w:sz w:val="22"/>
      <w:szCs w:val="22"/>
      <w:lang w:val="en-US" w:eastAsia="en-US"/>
    </w:rPr>
  </w:style>
  <w:style w:type="character" w:customStyle="1" w:styleId="NoSpacingChar">
    <w:name w:val="No Spacing Char"/>
    <w:link w:val="NoSpacing1"/>
    <w:uiPriority w:val="1"/>
    <w:rsid w:val="009D31E3"/>
    <w:rPr>
      <w:rFonts w:eastAsia="Times New Roman"/>
      <w:sz w:val="22"/>
      <w:szCs w:val="22"/>
      <w:lang w:val="en-US" w:eastAsia="en-US"/>
    </w:rPr>
  </w:style>
  <w:style w:type="paragraph" w:styleId="TOC3">
    <w:name w:val="toc 3"/>
    <w:basedOn w:val="Normal"/>
    <w:next w:val="Normal"/>
    <w:autoRedefine/>
    <w:uiPriority w:val="39"/>
    <w:unhideWhenUsed/>
    <w:rsid w:val="00DB5E66"/>
    <w:pPr>
      <w:spacing w:after="100"/>
      <w:ind w:left="440"/>
    </w:pPr>
  </w:style>
  <w:style w:type="paragraph" w:styleId="ListBullet">
    <w:name w:val="List Bullet"/>
    <w:basedOn w:val="Normal"/>
    <w:uiPriority w:val="99"/>
    <w:unhideWhenUsed/>
    <w:rsid w:val="00212A2C"/>
    <w:pPr>
      <w:numPr>
        <w:numId w:val="28"/>
      </w:numPr>
      <w:contextualSpacing/>
    </w:pPr>
  </w:style>
  <w:style w:type="paragraph" w:styleId="Title">
    <w:name w:val="Title"/>
    <w:basedOn w:val="Normal"/>
    <w:next w:val="Normal"/>
    <w:link w:val="TitleChar"/>
    <w:uiPriority w:val="10"/>
    <w:qFormat/>
    <w:rsid w:val="005C2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762"/>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
    <w:name w:val="Body Text Indent"/>
    <w:basedOn w:val="Normal"/>
    <w:link w:val="BodyTextIndentChar"/>
    <w:uiPriority w:val="99"/>
    <w:semiHidden/>
    <w:unhideWhenUsed/>
    <w:rsid w:val="00E117B2"/>
    <w:pPr>
      <w:spacing w:after="0" w:line="240" w:lineRule="auto"/>
      <w:ind w:left="720"/>
    </w:pPr>
    <w:rPr>
      <w:rFonts w:ascii="Times New Roman" w:eastAsiaTheme="minorHAnsi" w:hAnsi="Times New Roman"/>
      <w:sz w:val="24"/>
      <w:szCs w:val="24"/>
      <w:lang w:eastAsia="en-GB"/>
    </w:rPr>
  </w:style>
  <w:style w:type="character" w:customStyle="1" w:styleId="BodyTextIndentChar">
    <w:name w:val="Body Text Indent Char"/>
    <w:basedOn w:val="DefaultParagraphFont"/>
    <w:link w:val="BodyTextIndent"/>
    <w:uiPriority w:val="99"/>
    <w:semiHidden/>
    <w:rsid w:val="00E117B2"/>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34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6A"/>
    <w:pPr>
      <w:spacing w:after="200" w:line="276" w:lineRule="auto"/>
    </w:pPr>
    <w:rPr>
      <w:sz w:val="22"/>
      <w:szCs w:val="22"/>
      <w:lang w:eastAsia="en-US"/>
    </w:rPr>
  </w:style>
  <w:style w:type="paragraph" w:styleId="Heading1">
    <w:name w:val="heading 1"/>
    <w:basedOn w:val="Normal"/>
    <w:next w:val="Normal"/>
    <w:link w:val="Heading1Char"/>
    <w:uiPriority w:val="9"/>
    <w:qFormat/>
    <w:rsid w:val="009978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B72527"/>
    <w:pPr>
      <w:keepNext/>
      <w:keepLines/>
      <w:numPr>
        <w:numId w:val="2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03833"/>
    <w:pPr>
      <w:keepNext/>
      <w:keepLines/>
      <w:numPr>
        <w:numId w:val="2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9783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1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1B1A"/>
  </w:style>
  <w:style w:type="table" w:styleId="LightShading-Accent3">
    <w:name w:val="Light Shading Accent 3"/>
    <w:basedOn w:val="TableNormal"/>
    <w:uiPriority w:val="60"/>
    <w:rsid w:val="000753E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1Char">
    <w:name w:val="Heading 1 Char"/>
    <w:basedOn w:val="DefaultParagraphFont"/>
    <w:link w:val="Heading1"/>
    <w:uiPriority w:val="9"/>
    <w:rsid w:val="009978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725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203833"/>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997839"/>
    <w:rPr>
      <w:rFonts w:ascii="Cambria" w:eastAsia="Times New Roman" w:hAnsi="Cambria" w:cs="Times New Roman"/>
      <w:b/>
      <w:bCs/>
      <w:i/>
      <w:iCs/>
      <w:color w:val="4F81BD"/>
    </w:rPr>
  </w:style>
  <w:style w:type="paragraph" w:styleId="BalloonText">
    <w:name w:val="Balloon Text"/>
    <w:basedOn w:val="Normal"/>
    <w:link w:val="BalloonTextChar"/>
    <w:uiPriority w:val="99"/>
    <w:semiHidden/>
    <w:unhideWhenUsed/>
    <w:rsid w:val="0061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53"/>
    <w:rPr>
      <w:rFonts w:ascii="Tahoma" w:hAnsi="Tahoma" w:cs="Tahoma"/>
      <w:sz w:val="16"/>
      <w:szCs w:val="16"/>
    </w:rPr>
  </w:style>
  <w:style w:type="paragraph" w:styleId="TOCHeading">
    <w:name w:val="TOC Heading"/>
    <w:basedOn w:val="Heading1"/>
    <w:next w:val="Normal"/>
    <w:uiPriority w:val="39"/>
    <w:semiHidden/>
    <w:unhideWhenUsed/>
    <w:qFormat/>
    <w:rsid w:val="00712539"/>
    <w:pPr>
      <w:outlineLvl w:val="9"/>
    </w:pPr>
    <w:rPr>
      <w:lang w:val="en-US"/>
    </w:rPr>
  </w:style>
  <w:style w:type="paragraph" w:styleId="TOC1">
    <w:name w:val="toc 1"/>
    <w:basedOn w:val="Normal"/>
    <w:next w:val="Normal"/>
    <w:autoRedefine/>
    <w:uiPriority w:val="39"/>
    <w:unhideWhenUsed/>
    <w:rsid w:val="00712539"/>
    <w:pPr>
      <w:spacing w:after="100"/>
    </w:pPr>
  </w:style>
  <w:style w:type="paragraph" w:styleId="TOC2">
    <w:name w:val="toc 2"/>
    <w:basedOn w:val="Normal"/>
    <w:next w:val="Normal"/>
    <w:autoRedefine/>
    <w:uiPriority w:val="39"/>
    <w:unhideWhenUsed/>
    <w:rsid w:val="00712539"/>
    <w:pPr>
      <w:spacing w:after="100"/>
      <w:ind w:left="220"/>
    </w:pPr>
  </w:style>
  <w:style w:type="character" w:styleId="Hyperlink">
    <w:name w:val="Hyperlink"/>
    <w:basedOn w:val="DefaultParagraphFont"/>
    <w:uiPriority w:val="99"/>
    <w:unhideWhenUsed/>
    <w:rsid w:val="00712539"/>
    <w:rPr>
      <w:color w:val="0000FF"/>
      <w:u w:val="single"/>
    </w:rPr>
  </w:style>
  <w:style w:type="paragraph" w:styleId="Header">
    <w:name w:val="header"/>
    <w:basedOn w:val="Normal"/>
    <w:link w:val="HeaderChar"/>
    <w:uiPriority w:val="99"/>
    <w:unhideWhenUsed/>
    <w:rsid w:val="00DC4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057"/>
  </w:style>
  <w:style w:type="paragraph" w:styleId="Footer">
    <w:name w:val="footer"/>
    <w:basedOn w:val="Normal"/>
    <w:link w:val="FooterChar"/>
    <w:uiPriority w:val="99"/>
    <w:unhideWhenUsed/>
    <w:rsid w:val="00DC4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057"/>
  </w:style>
  <w:style w:type="character" w:styleId="CommentReference">
    <w:name w:val="annotation reference"/>
    <w:basedOn w:val="DefaultParagraphFont"/>
    <w:uiPriority w:val="99"/>
    <w:semiHidden/>
    <w:unhideWhenUsed/>
    <w:rsid w:val="00BE2BD5"/>
    <w:rPr>
      <w:sz w:val="16"/>
      <w:szCs w:val="16"/>
    </w:rPr>
  </w:style>
  <w:style w:type="paragraph" w:styleId="CommentText">
    <w:name w:val="annotation text"/>
    <w:basedOn w:val="Normal"/>
    <w:link w:val="CommentTextChar"/>
    <w:uiPriority w:val="99"/>
    <w:semiHidden/>
    <w:unhideWhenUsed/>
    <w:rsid w:val="00BE2BD5"/>
    <w:rPr>
      <w:sz w:val="20"/>
      <w:szCs w:val="20"/>
    </w:rPr>
  </w:style>
  <w:style w:type="character" w:customStyle="1" w:styleId="CommentTextChar">
    <w:name w:val="Comment Text Char"/>
    <w:basedOn w:val="DefaultParagraphFont"/>
    <w:link w:val="CommentText"/>
    <w:uiPriority w:val="99"/>
    <w:semiHidden/>
    <w:rsid w:val="00BE2BD5"/>
    <w:rPr>
      <w:lang w:eastAsia="en-US"/>
    </w:rPr>
  </w:style>
  <w:style w:type="paragraph" w:styleId="CommentSubject">
    <w:name w:val="annotation subject"/>
    <w:basedOn w:val="CommentText"/>
    <w:next w:val="CommentText"/>
    <w:link w:val="CommentSubjectChar"/>
    <w:uiPriority w:val="99"/>
    <w:semiHidden/>
    <w:unhideWhenUsed/>
    <w:rsid w:val="00BE2BD5"/>
    <w:rPr>
      <w:b/>
      <w:bCs/>
    </w:rPr>
  </w:style>
  <w:style w:type="character" w:customStyle="1" w:styleId="CommentSubjectChar">
    <w:name w:val="Comment Subject Char"/>
    <w:basedOn w:val="CommentTextChar"/>
    <w:link w:val="CommentSubject"/>
    <w:uiPriority w:val="99"/>
    <w:semiHidden/>
    <w:rsid w:val="00BE2BD5"/>
    <w:rPr>
      <w:b/>
      <w:bCs/>
      <w:lang w:eastAsia="en-US"/>
    </w:rPr>
  </w:style>
  <w:style w:type="paragraph" w:styleId="Revision">
    <w:name w:val="Revision"/>
    <w:hidden/>
    <w:uiPriority w:val="99"/>
    <w:semiHidden/>
    <w:rsid w:val="006D6140"/>
    <w:rPr>
      <w:sz w:val="22"/>
      <w:szCs w:val="22"/>
      <w:lang w:eastAsia="en-US"/>
    </w:rPr>
  </w:style>
  <w:style w:type="paragraph" w:styleId="NoSpacing">
    <w:name w:val="No Spacing"/>
    <w:uiPriority w:val="1"/>
    <w:qFormat/>
    <w:rsid w:val="00B938F3"/>
    <w:rPr>
      <w:sz w:val="22"/>
      <w:szCs w:val="22"/>
      <w:lang w:eastAsia="en-US"/>
    </w:rPr>
  </w:style>
  <w:style w:type="paragraph" w:customStyle="1" w:styleId="NoSpacing1">
    <w:name w:val="No Spacing1"/>
    <w:link w:val="NoSpacingChar"/>
    <w:uiPriority w:val="1"/>
    <w:qFormat/>
    <w:rsid w:val="009D31E3"/>
    <w:pPr>
      <w:jc w:val="both"/>
    </w:pPr>
    <w:rPr>
      <w:rFonts w:eastAsia="Times New Roman"/>
      <w:sz w:val="22"/>
      <w:szCs w:val="22"/>
      <w:lang w:val="en-US" w:eastAsia="en-US"/>
    </w:rPr>
  </w:style>
  <w:style w:type="character" w:customStyle="1" w:styleId="NoSpacingChar">
    <w:name w:val="No Spacing Char"/>
    <w:link w:val="NoSpacing1"/>
    <w:uiPriority w:val="1"/>
    <w:rsid w:val="009D31E3"/>
    <w:rPr>
      <w:rFonts w:eastAsia="Times New Roman"/>
      <w:sz w:val="22"/>
      <w:szCs w:val="22"/>
      <w:lang w:val="en-US" w:eastAsia="en-US"/>
    </w:rPr>
  </w:style>
  <w:style w:type="paragraph" w:styleId="TOC3">
    <w:name w:val="toc 3"/>
    <w:basedOn w:val="Normal"/>
    <w:next w:val="Normal"/>
    <w:autoRedefine/>
    <w:uiPriority w:val="39"/>
    <w:unhideWhenUsed/>
    <w:rsid w:val="00DB5E66"/>
    <w:pPr>
      <w:spacing w:after="100"/>
      <w:ind w:left="440"/>
    </w:pPr>
  </w:style>
  <w:style w:type="paragraph" w:styleId="ListBullet">
    <w:name w:val="List Bullet"/>
    <w:basedOn w:val="Normal"/>
    <w:uiPriority w:val="99"/>
    <w:unhideWhenUsed/>
    <w:rsid w:val="00212A2C"/>
    <w:pPr>
      <w:numPr>
        <w:numId w:val="28"/>
      </w:numPr>
      <w:contextualSpacing/>
    </w:pPr>
  </w:style>
  <w:style w:type="paragraph" w:styleId="Title">
    <w:name w:val="Title"/>
    <w:basedOn w:val="Normal"/>
    <w:next w:val="Normal"/>
    <w:link w:val="TitleChar"/>
    <w:uiPriority w:val="10"/>
    <w:qFormat/>
    <w:rsid w:val="005C27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762"/>
    <w:rPr>
      <w:rFonts w:asciiTheme="majorHAnsi" w:eastAsiaTheme="majorEastAsia" w:hAnsiTheme="majorHAnsi" w:cstheme="majorBidi"/>
      <w:color w:val="17365D" w:themeColor="text2" w:themeShade="BF"/>
      <w:spacing w:val="5"/>
      <w:kern w:val="28"/>
      <w:sz w:val="52"/>
      <w:szCs w:val="52"/>
      <w:lang w:eastAsia="en-US"/>
    </w:rPr>
  </w:style>
  <w:style w:type="paragraph" w:styleId="BodyTextIndent">
    <w:name w:val="Body Text Indent"/>
    <w:basedOn w:val="Normal"/>
    <w:link w:val="BodyTextIndentChar"/>
    <w:uiPriority w:val="99"/>
    <w:semiHidden/>
    <w:unhideWhenUsed/>
    <w:rsid w:val="00E117B2"/>
    <w:pPr>
      <w:spacing w:after="0" w:line="240" w:lineRule="auto"/>
      <w:ind w:left="720"/>
    </w:pPr>
    <w:rPr>
      <w:rFonts w:ascii="Times New Roman" w:eastAsiaTheme="minorHAnsi" w:hAnsi="Times New Roman"/>
      <w:sz w:val="24"/>
      <w:szCs w:val="24"/>
      <w:lang w:eastAsia="en-GB"/>
    </w:rPr>
  </w:style>
  <w:style w:type="character" w:customStyle="1" w:styleId="BodyTextIndentChar">
    <w:name w:val="Body Text Indent Char"/>
    <w:basedOn w:val="DefaultParagraphFont"/>
    <w:link w:val="BodyTextIndent"/>
    <w:uiPriority w:val="99"/>
    <w:semiHidden/>
    <w:rsid w:val="00E117B2"/>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34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74">
      <w:bodyDiv w:val="1"/>
      <w:marLeft w:val="0"/>
      <w:marRight w:val="0"/>
      <w:marTop w:val="0"/>
      <w:marBottom w:val="0"/>
      <w:divBdr>
        <w:top w:val="none" w:sz="0" w:space="0" w:color="auto"/>
        <w:left w:val="none" w:sz="0" w:space="0" w:color="auto"/>
        <w:bottom w:val="none" w:sz="0" w:space="0" w:color="auto"/>
        <w:right w:val="none" w:sz="0" w:space="0" w:color="auto"/>
      </w:divBdr>
    </w:div>
    <w:div w:id="58671521">
      <w:bodyDiv w:val="1"/>
      <w:marLeft w:val="0"/>
      <w:marRight w:val="0"/>
      <w:marTop w:val="0"/>
      <w:marBottom w:val="0"/>
      <w:divBdr>
        <w:top w:val="none" w:sz="0" w:space="0" w:color="auto"/>
        <w:left w:val="none" w:sz="0" w:space="0" w:color="auto"/>
        <w:bottom w:val="none" w:sz="0" w:space="0" w:color="auto"/>
        <w:right w:val="none" w:sz="0" w:space="0" w:color="auto"/>
      </w:divBdr>
    </w:div>
    <w:div w:id="250433919">
      <w:bodyDiv w:val="1"/>
      <w:marLeft w:val="0"/>
      <w:marRight w:val="0"/>
      <w:marTop w:val="0"/>
      <w:marBottom w:val="0"/>
      <w:divBdr>
        <w:top w:val="none" w:sz="0" w:space="0" w:color="auto"/>
        <w:left w:val="none" w:sz="0" w:space="0" w:color="auto"/>
        <w:bottom w:val="none" w:sz="0" w:space="0" w:color="auto"/>
        <w:right w:val="none" w:sz="0" w:space="0" w:color="auto"/>
      </w:divBdr>
    </w:div>
    <w:div w:id="403601101">
      <w:bodyDiv w:val="1"/>
      <w:marLeft w:val="0"/>
      <w:marRight w:val="0"/>
      <w:marTop w:val="0"/>
      <w:marBottom w:val="0"/>
      <w:divBdr>
        <w:top w:val="none" w:sz="0" w:space="0" w:color="auto"/>
        <w:left w:val="none" w:sz="0" w:space="0" w:color="auto"/>
        <w:bottom w:val="none" w:sz="0" w:space="0" w:color="auto"/>
        <w:right w:val="none" w:sz="0" w:space="0" w:color="auto"/>
      </w:divBdr>
    </w:div>
    <w:div w:id="437138692">
      <w:bodyDiv w:val="1"/>
      <w:marLeft w:val="0"/>
      <w:marRight w:val="0"/>
      <w:marTop w:val="0"/>
      <w:marBottom w:val="0"/>
      <w:divBdr>
        <w:top w:val="none" w:sz="0" w:space="0" w:color="auto"/>
        <w:left w:val="none" w:sz="0" w:space="0" w:color="auto"/>
        <w:bottom w:val="none" w:sz="0" w:space="0" w:color="auto"/>
        <w:right w:val="none" w:sz="0" w:space="0" w:color="auto"/>
      </w:divBdr>
    </w:div>
    <w:div w:id="663435297">
      <w:bodyDiv w:val="1"/>
      <w:marLeft w:val="0"/>
      <w:marRight w:val="0"/>
      <w:marTop w:val="0"/>
      <w:marBottom w:val="0"/>
      <w:divBdr>
        <w:top w:val="none" w:sz="0" w:space="0" w:color="auto"/>
        <w:left w:val="none" w:sz="0" w:space="0" w:color="auto"/>
        <w:bottom w:val="none" w:sz="0" w:space="0" w:color="auto"/>
        <w:right w:val="none" w:sz="0" w:space="0" w:color="auto"/>
      </w:divBdr>
    </w:div>
    <w:div w:id="733352087">
      <w:bodyDiv w:val="1"/>
      <w:marLeft w:val="0"/>
      <w:marRight w:val="0"/>
      <w:marTop w:val="0"/>
      <w:marBottom w:val="0"/>
      <w:divBdr>
        <w:top w:val="none" w:sz="0" w:space="0" w:color="auto"/>
        <w:left w:val="none" w:sz="0" w:space="0" w:color="auto"/>
        <w:bottom w:val="none" w:sz="0" w:space="0" w:color="auto"/>
        <w:right w:val="none" w:sz="0" w:space="0" w:color="auto"/>
      </w:divBdr>
    </w:div>
    <w:div w:id="873805450">
      <w:bodyDiv w:val="1"/>
      <w:marLeft w:val="0"/>
      <w:marRight w:val="0"/>
      <w:marTop w:val="0"/>
      <w:marBottom w:val="0"/>
      <w:divBdr>
        <w:top w:val="none" w:sz="0" w:space="0" w:color="auto"/>
        <w:left w:val="none" w:sz="0" w:space="0" w:color="auto"/>
        <w:bottom w:val="none" w:sz="0" w:space="0" w:color="auto"/>
        <w:right w:val="none" w:sz="0" w:space="0" w:color="auto"/>
      </w:divBdr>
    </w:div>
    <w:div w:id="994992171">
      <w:bodyDiv w:val="1"/>
      <w:marLeft w:val="0"/>
      <w:marRight w:val="0"/>
      <w:marTop w:val="0"/>
      <w:marBottom w:val="0"/>
      <w:divBdr>
        <w:top w:val="none" w:sz="0" w:space="0" w:color="auto"/>
        <w:left w:val="none" w:sz="0" w:space="0" w:color="auto"/>
        <w:bottom w:val="none" w:sz="0" w:space="0" w:color="auto"/>
        <w:right w:val="none" w:sz="0" w:space="0" w:color="auto"/>
      </w:divBdr>
    </w:div>
    <w:div w:id="1070272469">
      <w:bodyDiv w:val="1"/>
      <w:marLeft w:val="0"/>
      <w:marRight w:val="0"/>
      <w:marTop w:val="0"/>
      <w:marBottom w:val="0"/>
      <w:divBdr>
        <w:top w:val="none" w:sz="0" w:space="0" w:color="auto"/>
        <w:left w:val="none" w:sz="0" w:space="0" w:color="auto"/>
        <w:bottom w:val="none" w:sz="0" w:space="0" w:color="auto"/>
        <w:right w:val="none" w:sz="0" w:space="0" w:color="auto"/>
      </w:divBdr>
    </w:div>
    <w:div w:id="1124353467">
      <w:bodyDiv w:val="1"/>
      <w:marLeft w:val="0"/>
      <w:marRight w:val="0"/>
      <w:marTop w:val="0"/>
      <w:marBottom w:val="0"/>
      <w:divBdr>
        <w:top w:val="none" w:sz="0" w:space="0" w:color="auto"/>
        <w:left w:val="none" w:sz="0" w:space="0" w:color="auto"/>
        <w:bottom w:val="none" w:sz="0" w:space="0" w:color="auto"/>
        <w:right w:val="none" w:sz="0" w:space="0" w:color="auto"/>
      </w:divBdr>
    </w:div>
    <w:div w:id="1170827503">
      <w:bodyDiv w:val="1"/>
      <w:marLeft w:val="0"/>
      <w:marRight w:val="0"/>
      <w:marTop w:val="0"/>
      <w:marBottom w:val="0"/>
      <w:divBdr>
        <w:top w:val="none" w:sz="0" w:space="0" w:color="auto"/>
        <w:left w:val="none" w:sz="0" w:space="0" w:color="auto"/>
        <w:bottom w:val="none" w:sz="0" w:space="0" w:color="auto"/>
        <w:right w:val="none" w:sz="0" w:space="0" w:color="auto"/>
      </w:divBdr>
    </w:div>
    <w:div w:id="1170875058">
      <w:bodyDiv w:val="1"/>
      <w:marLeft w:val="0"/>
      <w:marRight w:val="0"/>
      <w:marTop w:val="0"/>
      <w:marBottom w:val="0"/>
      <w:divBdr>
        <w:top w:val="none" w:sz="0" w:space="0" w:color="auto"/>
        <w:left w:val="none" w:sz="0" w:space="0" w:color="auto"/>
        <w:bottom w:val="none" w:sz="0" w:space="0" w:color="auto"/>
        <w:right w:val="none" w:sz="0" w:space="0" w:color="auto"/>
      </w:divBdr>
    </w:div>
    <w:div w:id="1374572193">
      <w:bodyDiv w:val="1"/>
      <w:marLeft w:val="0"/>
      <w:marRight w:val="0"/>
      <w:marTop w:val="0"/>
      <w:marBottom w:val="0"/>
      <w:divBdr>
        <w:top w:val="none" w:sz="0" w:space="0" w:color="auto"/>
        <w:left w:val="none" w:sz="0" w:space="0" w:color="auto"/>
        <w:bottom w:val="none" w:sz="0" w:space="0" w:color="auto"/>
        <w:right w:val="none" w:sz="0" w:space="0" w:color="auto"/>
      </w:divBdr>
      <w:divsChild>
        <w:div w:id="1845706899">
          <w:marLeft w:val="0"/>
          <w:marRight w:val="0"/>
          <w:marTop w:val="0"/>
          <w:marBottom w:val="0"/>
          <w:divBdr>
            <w:top w:val="none" w:sz="0" w:space="0" w:color="auto"/>
            <w:left w:val="none" w:sz="0" w:space="0" w:color="auto"/>
            <w:bottom w:val="none" w:sz="0" w:space="0" w:color="auto"/>
            <w:right w:val="none" w:sz="0" w:space="0" w:color="auto"/>
          </w:divBdr>
        </w:div>
      </w:divsChild>
    </w:div>
    <w:div w:id="1385955701">
      <w:bodyDiv w:val="1"/>
      <w:marLeft w:val="0"/>
      <w:marRight w:val="0"/>
      <w:marTop w:val="0"/>
      <w:marBottom w:val="0"/>
      <w:divBdr>
        <w:top w:val="none" w:sz="0" w:space="0" w:color="auto"/>
        <w:left w:val="none" w:sz="0" w:space="0" w:color="auto"/>
        <w:bottom w:val="none" w:sz="0" w:space="0" w:color="auto"/>
        <w:right w:val="none" w:sz="0" w:space="0" w:color="auto"/>
      </w:divBdr>
    </w:div>
    <w:div w:id="1388643291">
      <w:bodyDiv w:val="1"/>
      <w:marLeft w:val="0"/>
      <w:marRight w:val="0"/>
      <w:marTop w:val="0"/>
      <w:marBottom w:val="0"/>
      <w:divBdr>
        <w:top w:val="none" w:sz="0" w:space="0" w:color="auto"/>
        <w:left w:val="none" w:sz="0" w:space="0" w:color="auto"/>
        <w:bottom w:val="none" w:sz="0" w:space="0" w:color="auto"/>
        <w:right w:val="none" w:sz="0" w:space="0" w:color="auto"/>
      </w:divBdr>
    </w:div>
    <w:div w:id="1417021078">
      <w:bodyDiv w:val="1"/>
      <w:marLeft w:val="0"/>
      <w:marRight w:val="0"/>
      <w:marTop w:val="0"/>
      <w:marBottom w:val="0"/>
      <w:divBdr>
        <w:top w:val="none" w:sz="0" w:space="0" w:color="auto"/>
        <w:left w:val="none" w:sz="0" w:space="0" w:color="auto"/>
        <w:bottom w:val="none" w:sz="0" w:space="0" w:color="auto"/>
        <w:right w:val="none" w:sz="0" w:space="0" w:color="auto"/>
      </w:divBdr>
    </w:div>
    <w:div w:id="1432358556">
      <w:bodyDiv w:val="1"/>
      <w:marLeft w:val="0"/>
      <w:marRight w:val="0"/>
      <w:marTop w:val="0"/>
      <w:marBottom w:val="0"/>
      <w:divBdr>
        <w:top w:val="none" w:sz="0" w:space="0" w:color="auto"/>
        <w:left w:val="none" w:sz="0" w:space="0" w:color="auto"/>
        <w:bottom w:val="none" w:sz="0" w:space="0" w:color="auto"/>
        <w:right w:val="none" w:sz="0" w:space="0" w:color="auto"/>
      </w:divBdr>
    </w:div>
    <w:div w:id="1576358999">
      <w:bodyDiv w:val="1"/>
      <w:marLeft w:val="0"/>
      <w:marRight w:val="0"/>
      <w:marTop w:val="0"/>
      <w:marBottom w:val="0"/>
      <w:divBdr>
        <w:top w:val="none" w:sz="0" w:space="0" w:color="auto"/>
        <w:left w:val="none" w:sz="0" w:space="0" w:color="auto"/>
        <w:bottom w:val="none" w:sz="0" w:space="0" w:color="auto"/>
        <w:right w:val="none" w:sz="0" w:space="0" w:color="auto"/>
      </w:divBdr>
    </w:div>
    <w:div w:id="1603688339">
      <w:bodyDiv w:val="1"/>
      <w:marLeft w:val="0"/>
      <w:marRight w:val="0"/>
      <w:marTop w:val="0"/>
      <w:marBottom w:val="0"/>
      <w:divBdr>
        <w:top w:val="none" w:sz="0" w:space="0" w:color="auto"/>
        <w:left w:val="none" w:sz="0" w:space="0" w:color="auto"/>
        <w:bottom w:val="none" w:sz="0" w:space="0" w:color="auto"/>
        <w:right w:val="none" w:sz="0" w:space="0" w:color="auto"/>
      </w:divBdr>
    </w:div>
    <w:div w:id="18659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exeter.ac.uk/research/toolkit/opportunities/internalopps/" TargetMode="External"/><Relationship Id="rId26" Type="http://schemas.openxmlformats.org/officeDocument/2006/relationships/hyperlink" Target="mailto:I.Mahde@exeter.ac.uk" TargetMode="External"/><Relationship Id="rId39" Type="http://schemas.openxmlformats.org/officeDocument/2006/relationships/hyperlink" Target="mailto:C.H.Merritt@exeter.ac.uk" TargetMode="External"/><Relationship Id="rId21" Type="http://schemas.openxmlformats.org/officeDocument/2006/relationships/hyperlink" Target="mailto:B.Atkins@exeter.ac.uk" TargetMode="External"/><Relationship Id="rId34" Type="http://schemas.openxmlformats.org/officeDocument/2006/relationships/hyperlink" Target="mailto:S.H.Baxter@exeter.ac.uk" TargetMode="External"/><Relationship Id="rId42" Type="http://schemas.openxmlformats.org/officeDocument/2006/relationships/hyperlink" Target="mailto:C.H.Merritt@exeter.ac.uk" TargetMode="External"/><Relationship Id="rId47" Type="http://schemas.openxmlformats.org/officeDocument/2006/relationships/hyperlink" Target="mailto:S.G.Popham@exeter.ac.uk" TargetMode="External"/><Relationship Id="rId50" Type="http://schemas.openxmlformats.org/officeDocument/2006/relationships/hyperlink" Target="mailto:A.Burt@exeter.ac.uk" TargetMode="External"/><Relationship Id="rId55" Type="http://schemas.openxmlformats.org/officeDocument/2006/relationships/hyperlink" Target="mailto:C.Muggridge@exeter.ac.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xeter.ac.uk/research/inspiring/keythemes/science/" TargetMode="External"/><Relationship Id="rId20" Type="http://schemas.openxmlformats.org/officeDocument/2006/relationships/hyperlink" Target="mailto:D.E.Miljus@exeter.ac.uk" TargetMode="External"/><Relationship Id="rId29" Type="http://schemas.openxmlformats.org/officeDocument/2006/relationships/hyperlink" Target="mailto:C.Muggridge@exeter.ac.uk" TargetMode="External"/><Relationship Id="rId41" Type="http://schemas.openxmlformats.org/officeDocument/2006/relationships/hyperlink" Target="mailto:C.H.Merritt@exeter.ac.uk" TargetMode="External"/><Relationship Id="rId54" Type="http://schemas.openxmlformats.org/officeDocument/2006/relationships/hyperlink" Target="mailto:B.Atkins@exeter.ac.u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ac.uk" TargetMode="External"/><Relationship Id="rId24" Type="http://schemas.openxmlformats.org/officeDocument/2006/relationships/hyperlink" Target="mailto:B.Atkins@exeter.ac.uk" TargetMode="External"/><Relationship Id="rId32" Type="http://schemas.openxmlformats.org/officeDocument/2006/relationships/hyperlink" Target="mailto:I.Mahde@exeter.ac.uk" TargetMode="External"/><Relationship Id="rId37" Type="http://schemas.openxmlformats.org/officeDocument/2006/relationships/hyperlink" Target="mailto:C.H.Merritt@exeter.ac.uk" TargetMode="External"/><Relationship Id="rId40" Type="http://schemas.openxmlformats.org/officeDocument/2006/relationships/hyperlink" Target="mailto:C.H.Merritt@exeter.ac.uk" TargetMode="External"/><Relationship Id="rId45" Type="http://schemas.openxmlformats.org/officeDocument/2006/relationships/hyperlink" Target="mailto:I.Mahde@exeter.ac.uk" TargetMode="External"/><Relationship Id="rId53" Type="http://schemas.openxmlformats.org/officeDocument/2006/relationships/hyperlink" Target="mailto:B.Atkins@exeter.ac.uk" TargetMode="External"/><Relationship Id="rId58" Type="http://schemas.openxmlformats.org/officeDocument/2006/relationships/hyperlink" Target="mailto:J.Hastings@exeter.ac.uk" TargetMode="External"/><Relationship Id="rId5" Type="http://schemas.openxmlformats.org/officeDocument/2006/relationships/settings" Target="settings.xml"/><Relationship Id="rId15" Type="http://schemas.openxmlformats.org/officeDocument/2006/relationships/hyperlink" Target="http://www.exeter.ac.uk/finance/cpp/" TargetMode="External"/><Relationship Id="rId23" Type="http://schemas.openxmlformats.org/officeDocument/2006/relationships/hyperlink" Target="mailto:B.Atkins@exeter.ac.uk" TargetMode="External"/><Relationship Id="rId28" Type="http://schemas.openxmlformats.org/officeDocument/2006/relationships/hyperlink" Target="mailto:I.Mahde@exeter.ac.uk" TargetMode="External"/><Relationship Id="rId36" Type="http://schemas.openxmlformats.org/officeDocument/2006/relationships/hyperlink" Target="mailto:C.H.Merritt@exeter.ac.uk" TargetMode="External"/><Relationship Id="rId49" Type="http://schemas.openxmlformats.org/officeDocument/2006/relationships/hyperlink" Target="mailto:C.H.Merritt@exeter.ac.uk" TargetMode="External"/><Relationship Id="rId57" Type="http://schemas.openxmlformats.org/officeDocument/2006/relationships/hyperlink" Target="mailto:C.Muggridge@exeter.ac.uk" TargetMode="External"/><Relationship Id="rId61" Type="http://schemas.openxmlformats.org/officeDocument/2006/relationships/hyperlink" Target="mailto:C.Muggridge@exeter.ac.uk" TargetMode="External"/><Relationship Id="rId10" Type="http://schemas.openxmlformats.org/officeDocument/2006/relationships/hyperlink" Target="http://www.exeter.ac.uk/spc/stratplan/planning_process/" TargetMode="External"/><Relationship Id="rId19" Type="http://schemas.openxmlformats.org/officeDocument/2006/relationships/hyperlink" Target="http://www.exeter.ac.uk/finance/policies/regulations/income/other/" TargetMode="External"/><Relationship Id="rId31" Type="http://schemas.openxmlformats.org/officeDocument/2006/relationships/hyperlink" Target="mailto:C.Muggridge@exeter.ac.uk" TargetMode="External"/><Relationship Id="rId44" Type="http://schemas.openxmlformats.org/officeDocument/2006/relationships/hyperlink" Target="mailto:C.H.Merritt@exeter.ac.uk" TargetMode="External"/><Relationship Id="rId52" Type="http://schemas.openxmlformats.org/officeDocument/2006/relationships/hyperlink" Target="mailto:A.J.George@exeter.ac.uk" TargetMode="External"/><Relationship Id="rId60" Type="http://schemas.openxmlformats.org/officeDocument/2006/relationships/hyperlink" Target="mailto:C.H.Merritt@exeter.ac.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yperlink" Target="mailto:B.Atkins@exeter.ac.uk" TargetMode="External"/><Relationship Id="rId27" Type="http://schemas.openxmlformats.org/officeDocument/2006/relationships/hyperlink" Target="mailto:I.Mahde@exeter.ac.uk" TargetMode="External"/><Relationship Id="rId30" Type="http://schemas.openxmlformats.org/officeDocument/2006/relationships/hyperlink" Target="mailto:S.G.Popham@exeter.ac.uk" TargetMode="External"/><Relationship Id="rId35" Type="http://schemas.openxmlformats.org/officeDocument/2006/relationships/hyperlink" Target="mailto:Marion1.Williams@exeter.ac.uk" TargetMode="External"/><Relationship Id="rId43" Type="http://schemas.openxmlformats.org/officeDocument/2006/relationships/hyperlink" Target="mailto:C.H.Merritt@exeter.ac.uk" TargetMode="External"/><Relationship Id="rId48" Type="http://schemas.openxmlformats.org/officeDocument/2006/relationships/hyperlink" Target="mailto:I.Mahde@exeter.ac.uk" TargetMode="External"/><Relationship Id="rId56" Type="http://schemas.openxmlformats.org/officeDocument/2006/relationships/hyperlink" Target="mailto:C.Muggridge@exeter.ac.u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Marion1.Williams@exeter.ac.uk" TargetMode="External"/><Relationship Id="rId3" Type="http://schemas.openxmlformats.org/officeDocument/2006/relationships/styles" Target="styles.xml"/><Relationship Id="rId12" Type="http://schemas.openxmlformats.org/officeDocument/2006/relationships/hyperlink" Target="http://www.exeter.ac.uk/staff/employment/leave/sickness/" TargetMode="External"/><Relationship Id="rId17" Type="http://schemas.openxmlformats.org/officeDocument/2006/relationships/hyperlink" Target="http://www.exeter.ac.uk/research/inspiring/keythemes/hass/" TargetMode="External"/><Relationship Id="rId25" Type="http://schemas.openxmlformats.org/officeDocument/2006/relationships/hyperlink" Target="mailto:I.Mahde@exeter.ac.uk" TargetMode="External"/><Relationship Id="rId33" Type="http://schemas.openxmlformats.org/officeDocument/2006/relationships/hyperlink" Target="mailto:T.M.Hitchen@exeter.ac.uk" TargetMode="External"/><Relationship Id="rId38" Type="http://schemas.openxmlformats.org/officeDocument/2006/relationships/hyperlink" Target="mailto:C.H.Merritt@exeter.ac.uk" TargetMode="External"/><Relationship Id="rId46" Type="http://schemas.openxmlformats.org/officeDocument/2006/relationships/hyperlink" Target="mailto:S.G.Popham@exeter.ac.uk" TargetMode="External"/><Relationship Id="rId59" Type="http://schemas.openxmlformats.org/officeDocument/2006/relationships/hyperlink" Target="mailto:J.Hasting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7A49B-375A-4A1B-8D4D-B7428E6E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ba211</dc:creator>
  <cp:lastModifiedBy>Iskander, Qaisar</cp:lastModifiedBy>
  <cp:revision>2</cp:revision>
  <cp:lastPrinted>2014-03-03T16:16:00Z</cp:lastPrinted>
  <dcterms:created xsi:type="dcterms:W3CDTF">2014-08-25T23:35:00Z</dcterms:created>
  <dcterms:modified xsi:type="dcterms:W3CDTF">2014-08-25T23:35:00Z</dcterms:modified>
</cp:coreProperties>
</file>