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016"/>
      </w:tblGrid>
      <w:tr w:rsidR="009943F9" w:rsidTr="009943F9">
        <w:trPr>
          <w:trHeight w:val="180"/>
        </w:trPr>
        <w:tc>
          <w:tcPr>
            <w:tcW w:w="9242" w:type="dxa"/>
          </w:tcPr>
          <w:p w:rsidR="009943F9" w:rsidRPr="00924078" w:rsidRDefault="009943F9" w:rsidP="00831444">
            <w:pPr>
              <w:pStyle w:val="NoSpacing"/>
              <w:rPr>
                <w:highlight w:val="yellow"/>
              </w:rPr>
            </w:pPr>
            <w:bookmarkStart w:id="0" w:name="_GoBack"/>
            <w:bookmarkEnd w:id="0"/>
            <w:r w:rsidRPr="00924078">
              <w:rPr>
                <w:b/>
              </w:rPr>
              <w:t xml:space="preserve">Date: </w:t>
            </w:r>
            <w:r w:rsidR="00924078" w:rsidRPr="00924078">
              <w:t>2</w:t>
            </w:r>
            <w:r w:rsidR="00831444">
              <w:t>8</w:t>
            </w:r>
            <w:r w:rsidR="00924078" w:rsidRPr="00924078">
              <w:t>/02/2020</w:t>
            </w:r>
          </w:p>
        </w:tc>
      </w:tr>
      <w:tr w:rsidR="009943F9" w:rsidTr="009754F9">
        <w:tc>
          <w:tcPr>
            <w:tcW w:w="9242" w:type="dxa"/>
          </w:tcPr>
          <w:p w:rsidR="009943F9" w:rsidRPr="00924078" w:rsidRDefault="009943F9" w:rsidP="00924078">
            <w:pPr>
              <w:pStyle w:val="NoSpacing"/>
              <w:rPr>
                <w:b/>
              </w:rPr>
            </w:pPr>
            <w:r w:rsidRPr="00924078">
              <w:rPr>
                <w:b/>
              </w:rPr>
              <w:t xml:space="preserve">To: </w:t>
            </w:r>
            <w:r w:rsidRPr="00924078">
              <w:t xml:space="preserve">Michael Wykes, </w:t>
            </w:r>
            <w:r w:rsidR="00350122" w:rsidRPr="00924078">
              <w:t xml:space="preserve">Fiona Kugele, </w:t>
            </w:r>
            <w:r w:rsidRPr="00924078">
              <w:t xml:space="preserve">Tim Quine, </w:t>
            </w:r>
            <w:r w:rsidR="00F636ED" w:rsidRPr="00924078">
              <w:t>Jonathan Critchley</w:t>
            </w:r>
            <w:r w:rsidR="00C91B39" w:rsidRPr="00924078">
              <w:t xml:space="preserve">, </w:t>
            </w:r>
            <w:r w:rsidR="00924078" w:rsidRPr="00924078">
              <w:t>Ian Blenkharn, Nicola Sinclair</w:t>
            </w:r>
          </w:p>
        </w:tc>
      </w:tr>
      <w:tr w:rsidR="009943F9" w:rsidTr="009754F9">
        <w:tc>
          <w:tcPr>
            <w:tcW w:w="9242" w:type="dxa"/>
          </w:tcPr>
          <w:p w:rsidR="009943F9" w:rsidRPr="00924078" w:rsidRDefault="009943F9" w:rsidP="009943F9">
            <w:pPr>
              <w:pStyle w:val="NoSpacing"/>
              <w:rPr>
                <w:b/>
              </w:rPr>
            </w:pPr>
            <w:r w:rsidRPr="00924078">
              <w:rPr>
                <w:b/>
              </w:rPr>
              <w:t>From:</w:t>
            </w:r>
          </w:p>
          <w:p w:rsidR="009943F9" w:rsidRPr="00924078" w:rsidRDefault="00924078" w:rsidP="009943F9">
            <w:pPr>
              <w:pStyle w:val="NoSpacing"/>
            </w:pPr>
            <w:r w:rsidRPr="00924078">
              <w:t>Andrew Farquhar</w:t>
            </w:r>
          </w:p>
          <w:p w:rsidR="009943F9" w:rsidRPr="00924078" w:rsidRDefault="009943F9" w:rsidP="009943F9">
            <w:pPr>
              <w:pStyle w:val="NoSpacing"/>
            </w:pPr>
            <w:r w:rsidRPr="00924078">
              <w:t>Policy, Planning and Business Intelligence</w:t>
            </w:r>
          </w:p>
        </w:tc>
      </w:tr>
      <w:tr w:rsidR="009943F9" w:rsidTr="009754F9">
        <w:tc>
          <w:tcPr>
            <w:tcW w:w="9242" w:type="dxa"/>
          </w:tcPr>
          <w:p w:rsidR="009943F9" w:rsidRPr="00924078" w:rsidRDefault="009943F9" w:rsidP="009943F9">
            <w:pPr>
              <w:pStyle w:val="NoSpacing"/>
              <w:rPr>
                <w:b/>
              </w:rPr>
            </w:pPr>
            <w:r w:rsidRPr="00924078">
              <w:rPr>
                <w:b/>
              </w:rPr>
              <w:t xml:space="preserve">Issue: </w:t>
            </w:r>
          </w:p>
          <w:p w:rsidR="00836D89" w:rsidRPr="00924078" w:rsidRDefault="00A17B6C" w:rsidP="007E7DBE">
            <w:r w:rsidRPr="00924078">
              <w:t xml:space="preserve">HESA </w:t>
            </w:r>
            <w:r w:rsidR="007E7DBE" w:rsidRPr="00924078">
              <w:t xml:space="preserve">publish their (PIs) annually in </w:t>
            </w:r>
            <w:r w:rsidR="00836D89" w:rsidRPr="00924078">
              <w:t>three tranches</w:t>
            </w:r>
            <w:r w:rsidR="007E7DBE" w:rsidRPr="00924078">
              <w:t>.</w:t>
            </w:r>
            <w:r w:rsidR="00836D89" w:rsidRPr="00924078">
              <w:t xml:space="preserve"> This analysis deals with the second tranche of data, looking at non-continuation</w:t>
            </w:r>
            <w:r w:rsidR="0073707E" w:rsidRPr="00924078">
              <w:t xml:space="preserve"> rates</w:t>
            </w:r>
            <w:r w:rsidR="00E439CA" w:rsidRPr="00924078">
              <w:t xml:space="preserve"> between </w:t>
            </w:r>
            <w:r w:rsidR="00924078" w:rsidRPr="00924078">
              <w:t>2017/18</w:t>
            </w:r>
            <w:r w:rsidR="00E439CA" w:rsidRPr="00924078">
              <w:t xml:space="preserve"> and 201</w:t>
            </w:r>
            <w:r w:rsidR="00924078" w:rsidRPr="00924078">
              <w:t>8</w:t>
            </w:r>
            <w:r w:rsidR="00E439CA" w:rsidRPr="00924078">
              <w:t>/1</w:t>
            </w:r>
            <w:r w:rsidR="00924078" w:rsidRPr="00924078">
              <w:t>9</w:t>
            </w:r>
            <w:r w:rsidR="00836D89" w:rsidRPr="00924078">
              <w:t>.</w:t>
            </w:r>
            <w:r w:rsidR="00E439CA" w:rsidRPr="00924078">
              <w:t xml:space="preserve"> This is the most recent data which we can compare against the sector as it is based on the </w:t>
            </w:r>
            <w:r w:rsidR="00494000" w:rsidRPr="00924078">
              <w:t>latest</w:t>
            </w:r>
            <w:r w:rsidR="002D3ED3" w:rsidRPr="00924078">
              <w:t xml:space="preserve"> HESA return.</w:t>
            </w:r>
          </w:p>
          <w:p w:rsidR="00322A6D" w:rsidRDefault="00831444" w:rsidP="00A36D98">
            <w:r w:rsidRPr="00831444">
              <w:t>Tables T3a-</w:t>
            </w:r>
            <w:r>
              <w:t xml:space="preserve">c </w:t>
            </w:r>
            <w:r w:rsidRPr="00831444">
              <w:t>and T4 of this release are based on a revised methodology and UK Performance Indicators population including alternative providers.</w:t>
            </w:r>
            <w:r>
              <w:t xml:space="preserve"> HESA have updated the data for academic entry years 2014/15 through 2017/18 to include the alternative providers. This briefing has therefor updated the data for those years, which has meant a change to the sector average scores. </w:t>
            </w:r>
            <w:r w:rsidRPr="00831444">
              <w:t>Table T5, which shows projected outcomes, is based on the previous method of calculating the UK Performance Indicators and does not include alternative providers.</w:t>
            </w:r>
            <w:r>
              <w:t xml:space="preserve"> It should also be noted that HESA, as with the widening participation PIs, have moved to use POLAR 4. This briefing uses the updated</w:t>
            </w:r>
            <w:r w:rsidR="001E6A66">
              <w:t xml:space="preserve"> POLAR 4</w:t>
            </w:r>
            <w:r>
              <w:t xml:space="preserve"> data for the 4 most recent years</w:t>
            </w:r>
            <w:r w:rsidR="001E6A66">
              <w:t>.</w:t>
            </w:r>
          </w:p>
          <w:p w:rsidR="00960D55" w:rsidRPr="00960D55" w:rsidRDefault="00960D55" w:rsidP="00960D55">
            <w:pPr>
              <w:rPr>
                <w:i/>
              </w:rPr>
            </w:pPr>
            <w:r w:rsidRPr="00960D55">
              <w:rPr>
                <w:i/>
                <w:color w:val="1F4E79" w:themeColor="accent1" w:themeShade="80"/>
              </w:rPr>
              <w:t xml:space="preserve">Please note that our </w:t>
            </w:r>
            <w:proofErr w:type="spellStart"/>
            <w:r w:rsidRPr="00960D55">
              <w:rPr>
                <w:i/>
                <w:color w:val="1F4E79" w:themeColor="accent1" w:themeShade="80"/>
              </w:rPr>
              <w:t>OfS</w:t>
            </w:r>
            <w:proofErr w:type="spellEnd"/>
            <w:r w:rsidRPr="00960D55">
              <w:rPr>
                <w:i/>
                <w:color w:val="1F4E79" w:themeColor="accent1" w:themeShade="80"/>
              </w:rPr>
              <w:t xml:space="preserve"> Access and Participation plan targets are</w:t>
            </w:r>
            <w:r>
              <w:rPr>
                <w:i/>
                <w:color w:val="1F4E79" w:themeColor="accent1" w:themeShade="80"/>
              </w:rPr>
              <w:t xml:space="preserve"> monitored against </w:t>
            </w:r>
            <w:proofErr w:type="spellStart"/>
            <w:r>
              <w:rPr>
                <w:i/>
                <w:color w:val="1F4E79" w:themeColor="accent1" w:themeShade="80"/>
              </w:rPr>
              <w:t>OfS</w:t>
            </w:r>
            <w:proofErr w:type="spellEnd"/>
            <w:r>
              <w:rPr>
                <w:i/>
                <w:color w:val="1F4E79" w:themeColor="accent1" w:themeShade="80"/>
              </w:rPr>
              <w:t xml:space="preserve"> datasets.</w:t>
            </w:r>
            <w:r w:rsidRPr="00960D55">
              <w:rPr>
                <w:i/>
                <w:color w:val="1F4E79" w:themeColor="accent1" w:themeShade="80"/>
              </w:rPr>
              <w:t xml:space="preserve"> </w:t>
            </w:r>
            <w:r>
              <w:rPr>
                <w:i/>
                <w:color w:val="1F4E79" w:themeColor="accent1" w:themeShade="80"/>
              </w:rPr>
              <w:t>Although</w:t>
            </w:r>
            <w:r w:rsidRPr="00960D55">
              <w:rPr>
                <w:i/>
                <w:color w:val="1F4E79" w:themeColor="accent1" w:themeShade="80"/>
              </w:rPr>
              <w:t xml:space="preserve"> they use HESA data</w:t>
            </w:r>
            <w:r>
              <w:rPr>
                <w:i/>
                <w:color w:val="1F4E79" w:themeColor="accent1" w:themeShade="80"/>
              </w:rPr>
              <w:t xml:space="preserve">, </w:t>
            </w:r>
            <w:r w:rsidRPr="00960D55">
              <w:rPr>
                <w:i/>
                <w:color w:val="1F4E79" w:themeColor="accent1" w:themeShade="80"/>
              </w:rPr>
              <w:t xml:space="preserve">the methodology </w:t>
            </w:r>
            <w:r>
              <w:rPr>
                <w:i/>
                <w:color w:val="1F4E79" w:themeColor="accent1" w:themeShade="80"/>
              </w:rPr>
              <w:t xml:space="preserve">used </w:t>
            </w:r>
            <w:r w:rsidRPr="00960D55">
              <w:rPr>
                <w:i/>
                <w:color w:val="1F4E79" w:themeColor="accent1" w:themeShade="80"/>
              </w:rPr>
              <w:t>for compiling the data is slightly different to that used by HESA for the below PIs.</w:t>
            </w:r>
          </w:p>
        </w:tc>
      </w:tr>
      <w:tr w:rsidR="009943F9" w:rsidTr="009754F9">
        <w:tc>
          <w:tcPr>
            <w:tcW w:w="9242" w:type="dxa"/>
          </w:tcPr>
          <w:p w:rsidR="009943F9" w:rsidRPr="002D7692" w:rsidRDefault="009943F9" w:rsidP="009943F9">
            <w:pPr>
              <w:pStyle w:val="NoSpacing"/>
              <w:rPr>
                <w:b/>
              </w:rPr>
            </w:pPr>
            <w:r w:rsidRPr="002D7692">
              <w:rPr>
                <w:b/>
              </w:rPr>
              <w:t xml:space="preserve">Background: </w:t>
            </w:r>
          </w:p>
          <w:p w:rsidR="00842B36" w:rsidRPr="002D7692" w:rsidRDefault="00836D89" w:rsidP="00842B36">
            <w:r w:rsidRPr="002D7692">
              <w:t>This file covers non-continuation and projected outcomes</w:t>
            </w:r>
            <w:r w:rsidR="00842B36" w:rsidRPr="002D7692">
              <w:t xml:space="preserve"> which </w:t>
            </w:r>
            <w:r w:rsidR="006A174A" w:rsidRPr="002D7692">
              <w:t>were</w:t>
            </w:r>
            <w:r w:rsidR="00842B36" w:rsidRPr="002D7692">
              <w:t xml:space="preserve"> published by HESA on </w:t>
            </w:r>
            <w:r w:rsidR="00924078" w:rsidRPr="002D7692">
              <w:t>27</w:t>
            </w:r>
            <w:r w:rsidR="00924078" w:rsidRPr="002D7692">
              <w:rPr>
                <w:vertAlign w:val="superscript"/>
              </w:rPr>
              <w:t>th</w:t>
            </w:r>
            <w:r w:rsidR="00924078" w:rsidRPr="002D7692">
              <w:t xml:space="preserve"> February 2020</w:t>
            </w:r>
            <w:r w:rsidR="00842B36" w:rsidRPr="002D7692">
              <w:t>. This second tranche of data measures non-continuation rates and projected outcomes. For non-continuation rates, a lower score is better, so we are aiming to score lower than the benchmark. The opposite is true for Table 5 which looks at projected outcomes.</w:t>
            </w:r>
          </w:p>
          <w:p w:rsidR="00E55333" w:rsidRPr="002D7692" w:rsidRDefault="00836D89" w:rsidP="00836D89">
            <w:r w:rsidRPr="002D7692">
              <w:t xml:space="preserve">Note:  Tranche 1 of the HESA PIs measured performance against </w:t>
            </w:r>
            <w:r w:rsidRPr="002D7692">
              <w:rPr>
                <w:i/>
              </w:rPr>
              <w:t>location adjusted</w:t>
            </w:r>
            <w:r w:rsidRPr="002D7692">
              <w:t xml:space="preserve"> benchmarks, however, Tranche 2 tables do not adjust benchmarks for location.</w:t>
            </w:r>
            <w:r w:rsidR="00E55333" w:rsidRPr="002D7692">
              <w:t xml:space="preserve"> </w:t>
            </w:r>
          </w:p>
          <w:p w:rsidR="004337E7" w:rsidRPr="002D7692" w:rsidRDefault="00A17B6C" w:rsidP="00212F8E">
            <w:pPr>
              <w:pStyle w:val="Heading1"/>
              <w:outlineLvl w:val="0"/>
            </w:pPr>
            <w:r w:rsidRPr="002D7692">
              <w:t>Headlines:</w:t>
            </w:r>
          </w:p>
          <w:p w:rsidR="00A13337" w:rsidRPr="002D7692" w:rsidRDefault="00A13337" w:rsidP="00A13337">
            <w:pPr>
              <w:pStyle w:val="ListParagraph"/>
            </w:pPr>
          </w:p>
          <w:p w:rsidR="00F14C9E" w:rsidRPr="002D7692" w:rsidRDefault="00F14C9E" w:rsidP="00A13337">
            <w:pPr>
              <w:pStyle w:val="ListParagraph"/>
              <w:numPr>
                <w:ilvl w:val="0"/>
                <w:numId w:val="8"/>
              </w:numPr>
            </w:pPr>
            <w:r w:rsidRPr="002D7692">
              <w:t xml:space="preserve">Our overall non-continuation rate is </w:t>
            </w:r>
            <w:r w:rsidR="006C5DE8" w:rsidRPr="002D7692">
              <w:t>3.1</w:t>
            </w:r>
            <w:r w:rsidRPr="002D7692">
              <w:t xml:space="preserve">%. </w:t>
            </w:r>
            <w:r w:rsidR="00902C63">
              <w:t>This has increased</w:t>
            </w:r>
            <w:r w:rsidR="006C5DE8" w:rsidRPr="002D7692">
              <w:t xml:space="preserve"> from last year’s score of 2.6</w:t>
            </w:r>
            <w:r w:rsidRPr="002D7692">
              <w:t xml:space="preserve">%. </w:t>
            </w:r>
            <w:r w:rsidR="006A174A" w:rsidRPr="002D7692">
              <w:t xml:space="preserve">This score remains around 5% </w:t>
            </w:r>
            <w:r w:rsidR="00322A6D" w:rsidRPr="002D7692">
              <w:t>better</w:t>
            </w:r>
            <w:r w:rsidR="006A174A" w:rsidRPr="002D7692">
              <w:t xml:space="preserve"> than sector average and 1% </w:t>
            </w:r>
            <w:r w:rsidR="00322A6D" w:rsidRPr="002D7692">
              <w:t>better</w:t>
            </w:r>
            <w:r w:rsidR="006A174A" w:rsidRPr="002D7692">
              <w:t xml:space="preserve"> than Russell Group median.</w:t>
            </w:r>
            <w:r w:rsidR="00B93D72" w:rsidRPr="002D7692">
              <w:t xml:space="preserve"> See table T3a below.</w:t>
            </w:r>
          </w:p>
          <w:p w:rsidR="00F14C9E" w:rsidRPr="002D7692" w:rsidRDefault="00F14C9E" w:rsidP="00F14C9E">
            <w:pPr>
              <w:pStyle w:val="ListParagraph"/>
            </w:pPr>
          </w:p>
          <w:p w:rsidR="00081D3C" w:rsidRPr="002D7692" w:rsidRDefault="00902C63" w:rsidP="00A13337">
            <w:pPr>
              <w:pStyle w:val="ListParagraph"/>
              <w:numPr>
                <w:ilvl w:val="0"/>
                <w:numId w:val="8"/>
              </w:numPr>
            </w:pPr>
            <w:r>
              <w:t xml:space="preserve">The small increase </w:t>
            </w:r>
            <w:r w:rsidR="00322A6D" w:rsidRPr="002D7692">
              <w:t xml:space="preserve">seen at overall level is reflected in the young split, where the rate has worsened to 2.5% (from 2% last year). We remain below our benchmark, and both the sector average and Russell Group median. </w:t>
            </w:r>
            <w:r w:rsidR="00B93D72" w:rsidRPr="002D7692">
              <w:t>See table T3a below.</w:t>
            </w:r>
          </w:p>
          <w:p w:rsidR="00081D3C" w:rsidRPr="002D7692" w:rsidRDefault="00081D3C" w:rsidP="00081D3C">
            <w:pPr>
              <w:pStyle w:val="ListParagraph"/>
            </w:pPr>
          </w:p>
          <w:p w:rsidR="00081D3C" w:rsidRPr="002D7692" w:rsidRDefault="00A36D98" w:rsidP="00A13337">
            <w:pPr>
              <w:pStyle w:val="ListParagraph"/>
              <w:numPr>
                <w:ilvl w:val="0"/>
                <w:numId w:val="8"/>
              </w:numPr>
            </w:pPr>
            <w:r w:rsidRPr="002D7692">
              <w:t>N</w:t>
            </w:r>
            <w:r w:rsidR="00081D3C" w:rsidRPr="002D7692">
              <w:t xml:space="preserve">on-continuation rates have </w:t>
            </w:r>
            <w:r w:rsidR="00322A6D" w:rsidRPr="002D7692">
              <w:t>increased</w:t>
            </w:r>
            <w:r w:rsidR="00081D3C" w:rsidRPr="002D7692">
              <w:t xml:space="preserve"> for mature students</w:t>
            </w:r>
            <w:r w:rsidR="00322A6D" w:rsidRPr="002D7692">
              <w:t xml:space="preserve"> by 0.2% to 11.5%</w:t>
            </w:r>
            <w:r w:rsidR="00081D3C" w:rsidRPr="002D7692">
              <w:t>.</w:t>
            </w:r>
            <w:r w:rsidR="00212F8E" w:rsidRPr="002D7692">
              <w:t xml:space="preserve"> </w:t>
            </w:r>
            <w:r w:rsidR="00322A6D" w:rsidRPr="002D7692">
              <w:t xml:space="preserve">We are also above the benchmark for the mature split (by 0.4%), and </w:t>
            </w:r>
            <w:r w:rsidR="00902C63">
              <w:t>2.3</w:t>
            </w:r>
            <w:r w:rsidR="00322A6D" w:rsidRPr="002D7692">
              <w:t>% worse that the Russell Group median. We are however better than the sector average of 13.6%.</w:t>
            </w:r>
            <w:r w:rsidR="00B93D72" w:rsidRPr="002D7692">
              <w:t xml:space="preserve"> See table T3a below.</w:t>
            </w:r>
          </w:p>
          <w:p w:rsidR="00F14C9E" w:rsidRPr="002D7692" w:rsidRDefault="00F14C9E" w:rsidP="00F14C9E">
            <w:pPr>
              <w:pStyle w:val="ListParagraph"/>
            </w:pPr>
          </w:p>
          <w:p w:rsidR="00730E43" w:rsidRPr="002D7692" w:rsidRDefault="00A13337" w:rsidP="00723422">
            <w:pPr>
              <w:pStyle w:val="ListParagraph"/>
              <w:numPr>
                <w:ilvl w:val="0"/>
                <w:numId w:val="8"/>
              </w:numPr>
            </w:pPr>
            <w:r w:rsidRPr="002D7692">
              <w:t xml:space="preserve">Non-continuation </w:t>
            </w:r>
            <w:r w:rsidR="00960D55" w:rsidRPr="002D7692">
              <w:t>for Young UK domiciled first degree students it’s higher for LPN students (3.8%) than those that are from a non-LPN area (2.4%). The gap between the two however has closed since last year, where it was 4.7% for LPN and 1.8% for non-LPN.</w:t>
            </w:r>
            <w:r w:rsidR="00B93D72" w:rsidRPr="002D7692">
              <w:t xml:space="preserve"> See table T3b below.</w:t>
            </w:r>
          </w:p>
          <w:p w:rsidR="004071D6" w:rsidRPr="002D7692" w:rsidRDefault="004071D6" w:rsidP="004071D6">
            <w:pPr>
              <w:pStyle w:val="ListParagraph"/>
            </w:pPr>
          </w:p>
          <w:p w:rsidR="004071D6" w:rsidRPr="002D7692" w:rsidRDefault="00B93D72" w:rsidP="00723422">
            <w:pPr>
              <w:pStyle w:val="ListParagraph"/>
              <w:numPr>
                <w:ilvl w:val="0"/>
                <w:numId w:val="8"/>
              </w:numPr>
            </w:pPr>
            <w:r w:rsidRPr="002D7692">
              <w:t>Non-continuation for mature students with a previous HE qualification has increased from 2.3% last year to 15.7% this year. It should however be noted that these percentages are based on very small figures. The non-continuation rate for mature students without a previous HE qualification is lower at 10.7%, and this has dropped from 12.9% last year. See table T3c below.</w:t>
            </w:r>
          </w:p>
          <w:p w:rsidR="00842B36" w:rsidRPr="002D7692" w:rsidRDefault="00842B36" w:rsidP="00842B36">
            <w:pPr>
              <w:pStyle w:val="ListParagraph"/>
            </w:pPr>
          </w:p>
          <w:p w:rsidR="00842B36" w:rsidRPr="002D7692" w:rsidRDefault="00B93D72" w:rsidP="00723422">
            <w:pPr>
              <w:pStyle w:val="ListParagraph"/>
              <w:numPr>
                <w:ilvl w:val="0"/>
                <w:numId w:val="8"/>
              </w:numPr>
            </w:pPr>
            <w:r w:rsidRPr="002D7692">
              <w:t xml:space="preserve">The percentage of students who have resumed study after a year out has improved in the latest year of data, to 17.4% (from 13.6%). There is also improvement of 0.1% in the percentage not in </w:t>
            </w:r>
            <w:proofErr w:type="gramStart"/>
            <w:r w:rsidRPr="002D7692">
              <w:t>HE</w:t>
            </w:r>
            <w:proofErr w:type="gramEnd"/>
            <w:r w:rsidRPr="002D7692">
              <w:t xml:space="preserve"> for two years (1.6%). We are better than the sector average and Russell Group median in this measure. See table T4a below.</w:t>
            </w:r>
          </w:p>
          <w:p w:rsidR="00B93D72" w:rsidRPr="002D7692" w:rsidRDefault="00B93D72" w:rsidP="00B93D72">
            <w:pPr>
              <w:pStyle w:val="ListParagraph"/>
            </w:pPr>
          </w:p>
          <w:p w:rsidR="00B93D72" w:rsidRPr="002D7692" w:rsidRDefault="00B93D72" w:rsidP="00723422">
            <w:pPr>
              <w:pStyle w:val="ListParagraph"/>
              <w:numPr>
                <w:ilvl w:val="0"/>
                <w:numId w:val="8"/>
              </w:numPr>
            </w:pPr>
            <w:r w:rsidRPr="002D7692">
              <w:t xml:space="preserve">Our projected learning outcomes data has worsened slightly, to 91.1% from 92.4% last year. </w:t>
            </w:r>
            <w:r w:rsidR="007F580A" w:rsidRPr="002D7692">
              <w:t xml:space="preserve">This data </w:t>
            </w:r>
            <w:r w:rsidR="002D7692" w:rsidRPr="002D7692">
              <w:t>projects the outcomes for each entry cohort of UK domiciled full-time students. See table T5 below.</w:t>
            </w:r>
          </w:p>
          <w:p w:rsidR="00723422" w:rsidRPr="002D7692" w:rsidRDefault="00723422" w:rsidP="00723422">
            <w:pPr>
              <w:pStyle w:val="ListParagraph"/>
            </w:pPr>
          </w:p>
          <w:p w:rsidR="00A13337" w:rsidRPr="002D7692" w:rsidRDefault="00A13337" w:rsidP="00A13337">
            <w:pPr>
              <w:pStyle w:val="ListParagraph"/>
              <w:numPr>
                <w:ilvl w:val="0"/>
                <w:numId w:val="8"/>
              </w:numPr>
            </w:pPr>
            <w:r w:rsidRPr="002D7692">
              <w:t xml:space="preserve">Distance from the benchmark was not </w:t>
            </w:r>
            <w:r w:rsidR="00212F8E" w:rsidRPr="002D7692">
              <w:t xml:space="preserve">statistically </w:t>
            </w:r>
            <w:r w:rsidRPr="002D7692">
              <w:t>significant in any of these tables</w:t>
            </w:r>
            <w:r w:rsidR="009A7431" w:rsidRPr="002D7692">
              <w:t xml:space="preserve"> and despite some slight decreases in score, we perform better than benchmark for all tables where a benchmark is provided</w:t>
            </w:r>
            <w:r w:rsidR="002D7692" w:rsidRPr="002D7692">
              <w:t xml:space="preserve"> other than the mature splits</w:t>
            </w:r>
            <w:r w:rsidR="009A7431" w:rsidRPr="002D7692">
              <w:t>.</w:t>
            </w:r>
          </w:p>
          <w:p w:rsidR="00723422" w:rsidRPr="002D7692" w:rsidRDefault="00723422" w:rsidP="00723422">
            <w:pPr>
              <w:pStyle w:val="ListParagraph"/>
            </w:pPr>
          </w:p>
          <w:p w:rsidR="00A13337" w:rsidRPr="002D7692" w:rsidRDefault="00A13337" w:rsidP="00A13337">
            <w:pPr>
              <w:pStyle w:val="ListParagraph"/>
              <w:numPr>
                <w:ilvl w:val="0"/>
                <w:numId w:val="8"/>
              </w:numPr>
            </w:pPr>
            <w:r w:rsidRPr="002D7692">
              <w:t>Many of the tables below refer to very small actual numbers of students, therefore, although the percentages may show a big change, this may only refer to a total population of &lt;100 FTE and an increase/decrease of 5 or 10 students</w:t>
            </w:r>
            <w:r w:rsidR="001D58E2" w:rsidRPr="002D7692">
              <w:t xml:space="preserve"> who did not continue their studies</w:t>
            </w:r>
            <w:r w:rsidRPr="002D7692">
              <w:t>.</w:t>
            </w:r>
          </w:p>
          <w:p w:rsidR="00723422" w:rsidRPr="002D7692" w:rsidRDefault="00723422" w:rsidP="00723422">
            <w:pPr>
              <w:pStyle w:val="ListParagraph"/>
            </w:pPr>
          </w:p>
          <w:p w:rsidR="00A13337" w:rsidRPr="002D7692" w:rsidRDefault="006A174A" w:rsidP="002D7692">
            <w:pPr>
              <w:pStyle w:val="ListParagraph"/>
              <w:numPr>
                <w:ilvl w:val="0"/>
                <w:numId w:val="8"/>
              </w:numPr>
            </w:pPr>
            <w:r w:rsidRPr="002D7692">
              <w:t>Non-continuation is an area of strength for Exeter as our proportion is very low. We outperform the sector average</w:t>
            </w:r>
            <w:r w:rsidR="002D7692" w:rsidRPr="002D7692">
              <w:t xml:space="preserve"> and Russel</w:t>
            </w:r>
            <w:r w:rsidR="00902C63">
              <w:t>l</w:t>
            </w:r>
            <w:r w:rsidR="002D7692" w:rsidRPr="002D7692">
              <w:t xml:space="preserve"> Group median</w:t>
            </w:r>
            <w:r w:rsidRPr="002D7692">
              <w:t xml:space="preserve"> in all tables except mature s</w:t>
            </w:r>
            <w:r w:rsidR="002D7692" w:rsidRPr="002D7692">
              <w:t>plits.</w:t>
            </w:r>
            <w:r w:rsidRPr="002D7692">
              <w:t xml:space="preserve"> </w:t>
            </w:r>
          </w:p>
        </w:tc>
      </w:tr>
      <w:tr w:rsidR="009943F9" w:rsidTr="00B56BE4">
        <w:trPr>
          <w:trHeight w:val="1626"/>
        </w:trPr>
        <w:tc>
          <w:tcPr>
            <w:tcW w:w="9242" w:type="dxa"/>
          </w:tcPr>
          <w:p w:rsidR="009943F9" w:rsidRPr="002D7692" w:rsidRDefault="009943F9" w:rsidP="009943F9">
            <w:pPr>
              <w:pStyle w:val="NoSpacing"/>
              <w:rPr>
                <w:b/>
              </w:rPr>
            </w:pPr>
            <w:r w:rsidRPr="002D7692">
              <w:rPr>
                <w:b/>
              </w:rPr>
              <w:lastRenderedPageBreak/>
              <w:t>Key considerations:</w:t>
            </w:r>
          </w:p>
          <w:p w:rsidR="00A13337" w:rsidRPr="002D7692" w:rsidRDefault="00A13337" w:rsidP="00A13337">
            <w:pPr>
              <w:pStyle w:val="Heading1"/>
              <w:outlineLvl w:val="0"/>
            </w:pPr>
            <w:r w:rsidRPr="002D7692">
              <w:lastRenderedPageBreak/>
              <w:t>T3A: Non-continuation following year of entry: UK domiciled full-time first degree entrants</w:t>
            </w:r>
            <w:r w:rsidR="00B07DF6" w:rsidRPr="002D7692">
              <w:t xml:space="preserve"> </w:t>
            </w:r>
            <w:r w:rsidR="005D56AF">
              <w:t>2014/15 to 2017/18</w:t>
            </w:r>
          </w:p>
          <w:p w:rsidR="00A13337" w:rsidRPr="002D7692" w:rsidRDefault="00A13337" w:rsidP="00A13337">
            <w:pPr>
              <w:pStyle w:val="Heading2"/>
              <w:outlineLvl w:val="1"/>
            </w:pPr>
            <w:r w:rsidRPr="002D7692">
              <w:t>All students</w:t>
            </w:r>
          </w:p>
          <w:p w:rsidR="00A13337" w:rsidRPr="002D7692" w:rsidRDefault="002D7692" w:rsidP="00A13337">
            <w:r>
              <w:rPr>
                <w:noProof/>
                <w:lang w:eastAsia="en-GB"/>
              </w:rPr>
              <w:drawing>
                <wp:inline distT="0" distB="0" distL="0" distR="0" wp14:anchorId="47FCCF50" wp14:editId="47A498E9">
                  <wp:extent cx="5534025" cy="145248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44257" cy="1455167"/>
                          </a:xfrm>
                          <a:prstGeom prst="rect">
                            <a:avLst/>
                          </a:prstGeom>
                        </pic:spPr>
                      </pic:pic>
                    </a:graphicData>
                  </a:graphic>
                </wp:inline>
              </w:drawing>
            </w:r>
          </w:p>
          <w:p w:rsidR="00A13337" w:rsidRPr="002D7692" w:rsidRDefault="00A13337" w:rsidP="00A13337">
            <w:r w:rsidRPr="002D7692">
              <w:t xml:space="preserve">The </w:t>
            </w:r>
            <w:r w:rsidR="00203595">
              <w:t>percentage</w:t>
            </w:r>
            <w:r w:rsidRPr="002D7692">
              <w:t xml:space="preserve"> of entrants who did not continue studying following their year of entry </w:t>
            </w:r>
            <w:r w:rsidR="00DD2C00" w:rsidRPr="002D7692">
              <w:t xml:space="preserve">was </w:t>
            </w:r>
            <w:r w:rsidR="005D56AF">
              <w:t>3.1</w:t>
            </w:r>
            <w:r w:rsidR="00DD2C00" w:rsidRPr="002D7692">
              <w:t xml:space="preserve">%, </w:t>
            </w:r>
            <w:r w:rsidR="005D56AF">
              <w:t>an increase on</w:t>
            </w:r>
            <w:r w:rsidRPr="002D7692">
              <w:t xml:space="preserve"> last year. </w:t>
            </w:r>
            <w:r w:rsidR="00AB3031" w:rsidRPr="002D7692">
              <w:t xml:space="preserve">The benchmark has </w:t>
            </w:r>
            <w:r w:rsidR="005D56AF">
              <w:t>increased slight</w:t>
            </w:r>
            <w:r w:rsidR="00203595">
              <w:t>ly</w:t>
            </w:r>
            <w:r w:rsidR="005D56AF">
              <w:t xml:space="preserve"> to 4.1%</w:t>
            </w:r>
            <w:r w:rsidR="00AB3031" w:rsidRPr="002D7692">
              <w:t xml:space="preserve">, so </w:t>
            </w:r>
            <w:r w:rsidR="005D56AF">
              <w:t xml:space="preserve">although </w:t>
            </w:r>
            <w:r w:rsidR="00203595">
              <w:t>our score remains better</w:t>
            </w:r>
            <w:r w:rsidR="00AB3031" w:rsidRPr="002D7692">
              <w:t xml:space="preserve"> than benchmark </w:t>
            </w:r>
            <w:r w:rsidR="005D56AF">
              <w:t>the gap has closed.</w:t>
            </w:r>
          </w:p>
          <w:p w:rsidR="009F00AE" w:rsidRPr="002D7692" w:rsidRDefault="009F00AE" w:rsidP="00494000">
            <w:r w:rsidRPr="002D7692">
              <w:t>Our proportion of students not continuing is 5</w:t>
            </w:r>
            <w:r w:rsidR="005D56AF">
              <w:t>.2</w:t>
            </w:r>
            <w:r w:rsidRPr="002D7692">
              <w:t>% lower than the sector, showing we are one of the top performers in this metric. The inverse of this metric (i.e. Continuation rate) is used in the TEF and is consistently one of our best scoring metrics at institutional and subject level when looking at absolute score</w:t>
            </w:r>
            <w:r w:rsidR="00BB4E86" w:rsidRPr="002D7692">
              <w:t>, although we do not score significantly above the benchmark, due to the very low benchmark</w:t>
            </w:r>
            <w:r w:rsidRPr="002D7692">
              <w:t>.</w:t>
            </w:r>
            <w:r w:rsidR="00BB4E86" w:rsidRPr="002D7692">
              <w:t xml:space="preserve"> (In order to receive a significance flag, the z score must exceed 1.96 and the score itself must be &gt;2% from benchmark. Since our benchmark is </w:t>
            </w:r>
            <w:r w:rsidR="005D56AF">
              <w:t>4.1</w:t>
            </w:r>
            <w:r w:rsidR="00BB4E86" w:rsidRPr="002D7692">
              <w:t>%, this would mean we require a no</w:t>
            </w:r>
            <w:r w:rsidR="005D56AF">
              <w:t>n-continuation score &lt;</w:t>
            </w:r>
            <w:r w:rsidR="00203595">
              <w:t>=</w:t>
            </w:r>
            <w:r w:rsidR="005D56AF">
              <w:t>2</w:t>
            </w:r>
            <w:r w:rsidR="00BB4E86" w:rsidRPr="002D7692">
              <w:t>% which would be incredibly low.)</w:t>
            </w:r>
          </w:p>
          <w:p w:rsidR="00494000" w:rsidRPr="002D7692" w:rsidRDefault="00494000" w:rsidP="00494000">
            <w:r w:rsidRPr="002D7692">
              <w:t xml:space="preserve">This is the most recent HESA data which we can compare against the sector, but it does have a time lag as it measures non-continuation between </w:t>
            </w:r>
            <w:r w:rsidR="005D56AF">
              <w:t>2017/18</w:t>
            </w:r>
            <w:r w:rsidRPr="002D7692">
              <w:t xml:space="preserve"> and 201</w:t>
            </w:r>
            <w:r w:rsidR="005D56AF">
              <w:t>8</w:t>
            </w:r>
            <w:r w:rsidRPr="002D7692">
              <w:t>/1</w:t>
            </w:r>
            <w:r w:rsidR="005D56AF">
              <w:t>9</w:t>
            </w:r>
            <w:r w:rsidRPr="002D7692">
              <w:t xml:space="preserve">. </w:t>
            </w:r>
          </w:p>
          <w:p w:rsidR="00DD2C00" w:rsidRPr="002D7692" w:rsidRDefault="005D56AF" w:rsidP="00A13337">
            <w:r>
              <w:t xml:space="preserve">The data shows a worsening </w:t>
            </w:r>
            <w:r w:rsidR="00494000" w:rsidRPr="002D7692">
              <w:t>in our non-continuation rate, however mor</w:t>
            </w:r>
            <w:r w:rsidR="00A519F0" w:rsidRPr="002D7692">
              <w:t xml:space="preserve">e recent, internal data for </w:t>
            </w:r>
            <w:r>
              <w:t>2018/19</w:t>
            </w:r>
            <w:r w:rsidR="00494000" w:rsidRPr="002D7692">
              <w:t xml:space="preserve"> (UG ASER report, </w:t>
            </w:r>
            <w:hyperlink r:id="rId9" w:history="1">
              <w:r w:rsidR="00494000" w:rsidRPr="002D7692">
                <w:rPr>
                  <w:rStyle w:val="Hyperlink"/>
                </w:rPr>
                <w:t>see MI h</w:t>
              </w:r>
              <w:r w:rsidR="00494000" w:rsidRPr="002D7692">
                <w:rPr>
                  <w:rStyle w:val="Hyperlink"/>
                </w:rPr>
                <w:t>u</w:t>
              </w:r>
              <w:r w:rsidR="00494000" w:rsidRPr="002D7692">
                <w:rPr>
                  <w:rStyle w:val="Hyperlink"/>
                </w:rPr>
                <w:t>b</w:t>
              </w:r>
              <w:r w:rsidR="00494000" w:rsidRPr="002D7692">
                <w:rPr>
                  <w:rStyle w:val="Hyperlink"/>
                </w:rPr>
                <w:t xml:space="preserve"> here</w:t>
              </w:r>
            </w:hyperlink>
            <w:r w:rsidR="00494000" w:rsidRPr="002D7692">
              <w:t>), indicates that the no</w:t>
            </w:r>
            <w:r w:rsidR="00902C63">
              <w:t>n-continuation rate has improved</w:t>
            </w:r>
            <w:r w:rsidR="00494000" w:rsidRPr="002D7692">
              <w:t xml:space="preserve"> slightly by 0.</w:t>
            </w:r>
            <w:r w:rsidR="005F6C3A">
              <w:t>7</w:t>
            </w:r>
            <w:r w:rsidR="00A519F0" w:rsidRPr="002D7692">
              <w:t xml:space="preserve">%. </w:t>
            </w:r>
            <w:r w:rsidR="00494000" w:rsidRPr="002D7692">
              <w:t xml:space="preserve">Although these internal figures aren’t directly comparable with the HESA PI, (due to the inclusion of international students, and the way we treat </w:t>
            </w:r>
            <w:r w:rsidR="005F6C3A">
              <w:t>transfers to other institutions</w:t>
            </w:r>
            <w:r w:rsidR="00494000" w:rsidRPr="002D7692">
              <w:t>)</w:t>
            </w:r>
            <w:r w:rsidR="005F6C3A">
              <w:t>,</w:t>
            </w:r>
            <w:r w:rsidR="00494000" w:rsidRPr="002D7692">
              <w:t xml:space="preserve"> this does</w:t>
            </w:r>
            <w:r w:rsidR="005F6C3A">
              <w:t xml:space="preserve"> suggest we may see a small improvement</w:t>
            </w:r>
            <w:r w:rsidR="00494000" w:rsidRPr="002D7692">
              <w:t xml:space="preserve"> in next year’s HESA PI performance.</w:t>
            </w:r>
          </w:p>
          <w:p w:rsidR="00A13337" w:rsidRPr="002D7692" w:rsidRDefault="00A13337" w:rsidP="00A13337">
            <w:pPr>
              <w:pStyle w:val="Heading2"/>
              <w:outlineLvl w:val="1"/>
            </w:pPr>
            <w:r w:rsidRPr="002D7692">
              <w:t>% Young</w:t>
            </w:r>
          </w:p>
          <w:p w:rsidR="00A13337" w:rsidRPr="002D7692" w:rsidRDefault="00203595" w:rsidP="00A13337">
            <w:r>
              <w:rPr>
                <w:noProof/>
                <w:lang w:eastAsia="en-GB"/>
              </w:rPr>
              <w:drawing>
                <wp:inline distT="0" distB="0" distL="0" distR="0" wp14:anchorId="387FFFC1" wp14:editId="72109680">
                  <wp:extent cx="5457825" cy="1313966"/>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76311" cy="1318417"/>
                          </a:xfrm>
                          <a:prstGeom prst="rect">
                            <a:avLst/>
                          </a:prstGeom>
                        </pic:spPr>
                      </pic:pic>
                    </a:graphicData>
                  </a:graphic>
                </wp:inline>
              </w:drawing>
            </w:r>
          </w:p>
          <w:p w:rsidR="00A13337" w:rsidRPr="002D7692" w:rsidRDefault="00203595" w:rsidP="00A13337">
            <w:r>
              <w:lastRenderedPageBreak/>
              <w:t>The percentage</w:t>
            </w:r>
            <w:r w:rsidR="00A13337" w:rsidRPr="002D7692">
              <w:t xml:space="preserve"> of young entrants </w:t>
            </w:r>
            <w:r w:rsidR="00432A1B" w:rsidRPr="002D7692">
              <w:t xml:space="preserve">who did not continue has slightly </w:t>
            </w:r>
            <w:r>
              <w:t>increased</w:t>
            </w:r>
            <w:r w:rsidR="00432A1B" w:rsidRPr="002D7692">
              <w:t xml:space="preserve"> from </w:t>
            </w:r>
            <w:r w:rsidR="00A519F0" w:rsidRPr="002D7692">
              <w:t xml:space="preserve">2% to </w:t>
            </w:r>
            <w:r>
              <w:t>2.5</w:t>
            </w:r>
            <w:r w:rsidR="00902C63">
              <w:t>%</w:t>
            </w:r>
            <w:r w:rsidR="00432A1B" w:rsidRPr="002D7692">
              <w:t>.</w:t>
            </w:r>
            <w:r>
              <w:t xml:space="preserve"> W</w:t>
            </w:r>
            <w:r w:rsidR="00A13337" w:rsidRPr="002D7692">
              <w:t xml:space="preserve">e perform better than the benchmark, </w:t>
            </w:r>
            <w:r w:rsidR="00906A8F" w:rsidRPr="002D7692">
              <w:t>sector</w:t>
            </w:r>
            <w:r w:rsidR="00A519F0" w:rsidRPr="002D7692">
              <w:t>,</w:t>
            </w:r>
            <w:r>
              <w:t xml:space="preserve"> and RG median although the gap to each has declined.</w:t>
            </w:r>
          </w:p>
          <w:p w:rsidR="00A13337" w:rsidRPr="002D7692" w:rsidRDefault="00A13337" w:rsidP="00A13337">
            <w:pPr>
              <w:pStyle w:val="Heading2"/>
              <w:outlineLvl w:val="1"/>
            </w:pPr>
            <w:r w:rsidRPr="002D7692">
              <w:t>% Mature</w:t>
            </w:r>
          </w:p>
          <w:p w:rsidR="00A13337" w:rsidRPr="002D7692" w:rsidRDefault="00A13337" w:rsidP="00A13337">
            <w:pPr>
              <w:pStyle w:val="NoSpacing"/>
              <w:rPr>
                <w:sz w:val="10"/>
              </w:rPr>
            </w:pPr>
          </w:p>
          <w:p w:rsidR="00A13337" w:rsidRPr="002D7692" w:rsidRDefault="00203595" w:rsidP="00A13337">
            <w:r>
              <w:rPr>
                <w:noProof/>
                <w:lang w:eastAsia="en-GB"/>
              </w:rPr>
              <w:drawing>
                <wp:inline distT="0" distB="0" distL="0" distR="0" wp14:anchorId="6E4C281E" wp14:editId="121AD86E">
                  <wp:extent cx="5572125" cy="135321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91454" cy="1357907"/>
                          </a:xfrm>
                          <a:prstGeom prst="rect">
                            <a:avLst/>
                          </a:prstGeom>
                        </pic:spPr>
                      </pic:pic>
                    </a:graphicData>
                  </a:graphic>
                </wp:inline>
              </w:drawing>
            </w:r>
          </w:p>
          <w:p w:rsidR="00482A71" w:rsidRPr="002D7692" w:rsidRDefault="00F510EC" w:rsidP="00A13337">
            <w:r>
              <w:t>The percentage</w:t>
            </w:r>
            <w:r w:rsidR="00A13337" w:rsidRPr="002D7692">
              <w:t xml:space="preserve"> of mature students not continuing</w:t>
            </w:r>
            <w:r>
              <w:t xml:space="preserve"> has increased slightly from last year, by 0.2% to 11.5%. For this split of the data we are performing worse than both our benchmark and the Russell Group median, though we are still performing better than the sector average. The mature percentage is consistently higher than that for young students, and this remains true in the latest data. However it should be noted that the population size is much smaller.</w:t>
            </w:r>
          </w:p>
          <w:p w:rsidR="00A13337" w:rsidRPr="002D7692" w:rsidRDefault="00A13337" w:rsidP="00A13337">
            <w:pPr>
              <w:pStyle w:val="Heading1"/>
              <w:outlineLvl w:val="0"/>
            </w:pPr>
            <w:r w:rsidRPr="002D7692">
              <w:t>T3B: Non-continuation following year of entry: UK domiciled young full-time first degree entrants – comparison of LPN and non-LPN continuation rates</w:t>
            </w:r>
            <w:r w:rsidR="00CB03FF" w:rsidRPr="002D7692">
              <w:t xml:space="preserve"> </w:t>
            </w:r>
            <w:r w:rsidR="005460B9">
              <w:t>2015/16 to 2017/18</w:t>
            </w:r>
          </w:p>
          <w:p w:rsidR="00A13337" w:rsidRPr="002D7692" w:rsidRDefault="00A13337" w:rsidP="00A13337">
            <w:pPr>
              <w:pStyle w:val="Heading2"/>
              <w:outlineLvl w:val="1"/>
            </w:pPr>
            <w:r w:rsidRPr="002D7692">
              <w:t>LPN</w:t>
            </w:r>
          </w:p>
          <w:p w:rsidR="00A13337" w:rsidRPr="002D7692" w:rsidRDefault="00F510EC" w:rsidP="00A13337">
            <w:r>
              <w:rPr>
                <w:noProof/>
                <w:lang w:eastAsia="en-GB"/>
              </w:rPr>
              <w:drawing>
                <wp:inline distT="0" distB="0" distL="0" distR="0" wp14:anchorId="51B65232" wp14:editId="48799766">
                  <wp:extent cx="5486400" cy="14763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486400" cy="1476375"/>
                          </a:xfrm>
                          <a:prstGeom prst="rect">
                            <a:avLst/>
                          </a:prstGeom>
                        </pic:spPr>
                      </pic:pic>
                    </a:graphicData>
                  </a:graphic>
                </wp:inline>
              </w:drawing>
            </w:r>
          </w:p>
          <w:p w:rsidR="00906A8F" w:rsidRPr="002D7692" w:rsidRDefault="00A13337" w:rsidP="00F510EC">
            <w:r w:rsidRPr="002D7692">
              <w:t xml:space="preserve">The </w:t>
            </w:r>
            <w:r w:rsidR="00F510EC">
              <w:t>move the use POLAR 4 by HESA means that there is only 3 years of comparable data available for this split of the data. However we can see an improvement of 0.9% for the percentage of LPN students not continuing, to 3.8% this year. This is better than our benchmark, the sector average and Russell Group median. It remains higher than the non-continuation rate for those not from an LPN area, though the gap has closed since last year.</w:t>
            </w:r>
          </w:p>
          <w:p w:rsidR="00A13337" w:rsidRPr="002D7692" w:rsidRDefault="00A13337" w:rsidP="00A13337">
            <w:pPr>
              <w:pStyle w:val="Heading2"/>
              <w:outlineLvl w:val="1"/>
            </w:pPr>
            <w:r w:rsidRPr="002D7692">
              <w:lastRenderedPageBreak/>
              <w:t>Non-LPN</w:t>
            </w:r>
          </w:p>
          <w:p w:rsidR="00A13337" w:rsidRPr="002D7692" w:rsidRDefault="00F510EC" w:rsidP="00A13337">
            <w:r>
              <w:rPr>
                <w:noProof/>
                <w:lang w:eastAsia="en-GB"/>
              </w:rPr>
              <w:drawing>
                <wp:inline distT="0" distB="0" distL="0" distR="0" wp14:anchorId="4A8AA7BA" wp14:editId="477FB07F">
                  <wp:extent cx="5553075" cy="147637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53075" cy="1476375"/>
                          </a:xfrm>
                          <a:prstGeom prst="rect">
                            <a:avLst/>
                          </a:prstGeom>
                        </pic:spPr>
                      </pic:pic>
                    </a:graphicData>
                  </a:graphic>
                </wp:inline>
              </w:drawing>
            </w:r>
          </w:p>
          <w:p w:rsidR="00C67C82" w:rsidRPr="002D7692" w:rsidRDefault="00A13337" w:rsidP="00A13337">
            <w:r w:rsidRPr="002D7692">
              <w:t xml:space="preserve">The </w:t>
            </w:r>
            <w:r w:rsidR="00C67C82" w:rsidRPr="002D7692">
              <w:t>p</w:t>
            </w:r>
            <w:r w:rsidR="00F510EC">
              <w:t>ercentage</w:t>
            </w:r>
            <w:r w:rsidR="00C67C82" w:rsidRPr="002D7692">
              <w:t xml:space="preserve"> of student</w:t>
            </w:r>
            <w:r w:rsidR="001B6E90" w:rsidRPr="002D7692">
              <w:t>s</w:t>
            </w:r>
            <w:r w:rsidR="00C67C82" w:rsidRPr="002D7692">
              <w:t xml:space="preserve"> not continuing</w:t>
            </w:r>
            <w:r w:rsidRPr="002D7692">
              <w:t xml:space="preserve"> is lower </w:t>
            </w:r>
            <w:r w:rsidR="00C67C82" w:rsidRPr="002D7692">
              <w:t xml:space="preserve">for students </w:t>
            </w:r>
            <w:r w:rsidR="001B6E90" w:rsidRPr="002D7692">
              <w:t xml:space="preserve">who weren’t from </w:t>
            </w:r>
            <w:r w:rsidRPr="002D7692">
              <w:t xml:space="preserve">LPN </w:t>
            </w:r>
            <w:r w:rsidR="001B6E90" w:rsidRPr="002D7692">
              <w:t>backgrounds than those who were</w:t>
            </w:r>
            <w:r w:rsidRPr="002D7692">
              <w:t>.</w:t>
            </w:r>
            <w:r w:rsidR="001B6E90" w:rsidRPr="002D7692">
              <w:t xml:space="preserve"> This effectively means that dropout rates are higher for LPN students than non-LPN, which is mirrored across the sector</w:t>
            </w:r>
            <w:r w:rsidR="00F510EC">
              <w:t xml:space="preserve"> and Russell Group</w:t>
            </w:r>
            <w:r w:rsidR="001B6E90" w:rsidRPr="002D7692">
              <w:t>.</w:t>
            </w:r>
            <w:r w:rsidRPr="002D7692">
              <w:t xml:space="preserve"> </w:t>
            </w:r>
            <w:r w:rsidR="00CB03FF" w:rsidRPr="002D7692">
              <w:t>Our</w:t>
            </w:r>
            <w:r w:rsidR="00C67C82" w:rsidRPr="002D7692">
              <w:t xml:space="preserve"> score</w:t>
            </w:r>
            <w:r w:rsidR="00F510EC">
              <w:t xml:space="preserve"> in this split has worsened by 0.6</w:t>
            </w:r>
            <w:r w:rsidR="00C67C82" w:rsidRPr="002D7692">
              <w:t xml:space="preserve">%, </w:t>
            </w:r>
            <w:r w:rsidR="00F510EC">
              <w:t>though</w:t>
            </w:r>
            <w:r w:rsidR="00CB03FF" w:rsidRPr="002D7692">
              <w:t xml:space="preserve"> i</w:t>
            </w:r>
            <w:r w:rsidR="00C67C82" w:rsidRPr="002D7692">
              <w:t xml:space="preserve">t remains </w:t>
            </w:r>
            <w:r w:rsidR="00CB03FF" w:rsidRPr="002D7692">
              <w:t xml:space="preserve">lower than benchmark, </w:t>
            </w:r>
            <w:r w:rsidR="0087271E" w:rsidRPr="002D7692">
              <w:t xml:space="preserve">sector </w:t>
            </w:r>
            <w:r w:rsidR="001D58E2" w:rsidRPr="002D7692">
              <w:t>score</w:t>
            </w:r>
            <w:r w:rsidR="0087271E" w:rsidRPr="002D7692">
              <w:t xml:space="preserve"> and R</w:t>
            </w:r>
            <w:r w:rsidR="00F510EC">
              <w:t xml:space="preserve">ussell </w:t>
            </w:r>
            <w:r w:rsidR="0087271E" w:rsidRPr="002D7692">
              <w:t>G</w:t>
            </w:r>
            <w:r w:rsidR="00F510EC">
              <w:t>roup</w:t>
            </w:r>
            <w:r w:rsidR="0087271E" w:rsidRPr="002D7692">
              <w:t xml:space="preserve"> median.</w:t>
            </w:r>
          </w:p>
          <w:p w:rsidR="00A13337" w:rsidRPr="002D7692" w:rsidRDefault="00A13337" w:rsidP="00A13337">
            <w:pPr>
              <w:pStyle w:val="Heading1"/>
              <w:outlineLvl w:val="0"/>
            </w:pPr>
            <w:r w:rsidRPr="002D7692">
              <w:t xml:space="preserve">T3C: Non-continuation following year of entry: UK domiciled </w:t>
            </w:r>
            <w:r w:rsidRPr="002D7692">
              <w:rPr>
                <w:i/>
              </w:rPr>
              <w:t>mature</w:t>
            </w:r>
            <w:r w:rsidRPr="002D7692">
              <w:t xml:space="preserve"> full-time first degree entrants </w:t>
            </w:r>
            <w:r w:rsidR="00B07DF6" w:rsidRPr="002D7692">
              <w:t>201</w:t>
            </w:r>
            <w:r w:rsidR="005460B9">
              <w:t>4/15 to 2017/18</w:t>
            </w:r>
          </w:p>
          <w:p w:rsidR="00A13337" w:rsidRPr="002D7692" w:rsidRDefault="00A13337" w:rsidP="00A13337">
            <w:pPr>
              <w:pStyle w:val="Heading2"/>
              <w:outlineLvl w:val="1"/>
            </w:pPr>
            <w:r w:rsidRPr="002D7692">
              <w:t>Mature with previous HE qualification</w:t>
            </w:r>
          </w:p>
          <w:p w:rsidR="00A13337" w:rsidRPr="002D7692" w:rsidRDefault="00F510EC" w:rsidP="00A13337">
            <w:r>
              <w:rPr>
                <w:noProof/>
                <w:lang w:eastAsia="en-GB"/>
              </w:rPr>
              <w:drawing>
                <wp:inline distT="0" distB="0" distL="0" distR="0" wp14:anchorId="2B355FEB" wp14:editId="79AE3448">
                  <wp:extent cx="5505450" cy="133763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517092" cy="1340459"/>
                          </a:xfrm>
                          <a:prstGeom prst="rect">
                            <a:avLst/>
                          </a:prstGeom>
                        </pic:spPr>
                      </pic:pic>
                    </a:graphicData>
                  </a:graphic>
                </wp:inline>
              </w:drawing>
            </w:r>
          </w:p>
          <w:p w:rsidR="0087271E" w:rsidRPr="002D7692" w:rsidRDefault="0087271E" w:rsidP="00A13337">
            <w:r w:rsidRPr="002D7692">
              <w:t xml:space="preserve">Although our score has </w:t>
            </w:r>
            <w:r w:rsidR="00F510EC">
              <w:t>worsened</w:t>
            </w:r>
            <w:r w:rsidR="004905C1" w:rsidRPr="002D7692">
              <w:t xml:space="preserve"> significantly </w:t>
            </w:r>
            <w:r w:rsidRPr="002D7692">
              <w:t xml:space="preserve">compared to last year, </w:t>
            </w:r>
            <w:r w:rsidR="004905C1" w:rsidRPr="002D7692">
              <w:t>and</w:t>
            </w:r>
            <w:r w:rsidRPr="002D7692">
              <w:t xml:space="preserve"> </w:t>
            </w:r>
            <w:r w:rsidR="004905C1" w:rsidRPr="002D7692">
              <w:t xml:space="preserve">is now </w:t>
            </w:r>
            <w:r w:rsidR="005460B9">
              <w:t>above</w:t>
            </w:r>
            <w:r w:rsidR="004905C1" w:rsidRPr="002D7692">
              <w:t xml:space="preserve"> the</w:t>
            </w:r>
            <w:r w:rsidRPr="002D7692">
              <w:t xml:space="preserve"> sector </w:t>
            </w:r>
            <w:r w:rsidR="005460B9">
              <w:t xml:space="preserve">average </w:t>
            </w:r>
            <w:r w:rsidRPr="002D7692">
              <w:t>and R</w:t>
            </w:r>
            <w:r w:rsidR="005460B9">
              <w:t xml:space="preserve">ussell </w:t>
            </w:r>
            <w:r w:rsidRPr="002D7692">
              <w:t>G</w:t>
            </w:r>
            <w:r w:rsidR="005460B9">
              <w:t xml:space="preserve">roup median, </w:t>
            </w:r>
            <w:r w:rsidRPr="002D7692">
              <w:t>it should be noted that this is based on a very small number of students (~</w:t>
            </w:r>
            <w:r w:rsidR="005460B9">
              <w:t>10</w:t>
            </w:r>
            <w:r w:rsidRPr="002D7692">
              <w:t>) so the percentage scores can fluctuate wildly between years.</w:t>
            </w:r>
          </w:p>
          <w:p w:rsidR="00A13337" w:rsidRPr="002D7692" w:rsidRDefault="00A13337" w:rsidP="00A13337">
            <w:pPr>
              <w:pStyle w:val="Heading2"/>
              <w:outlineLvl w:val="1"/>
            </w:pPr>
            <w:r w:rsidRPr="002D7692">
              <w:t>Mature without previous HE qualification</w:t>
            </w:r>
          </w:p>
          <w:p w:rsidR="00A13337" w:rsidRPr="002D7692" w:rsidRDefault="005460B9" w:rsidP="00A13337">
            <w:r>
              <w:rPr>
                <w:noProof/>
                <w:lang w:eastAsia="en-GB"/>
              </w:rPr>
              <w:drawing>
                <wp:inline distT="0" distB="0" distL="0" distR="0" wp14:anchorId="527C4FB8" wp14:editId="5A9467FE">
                  <wp:extent cx="5534025" cy="1305333"/>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544725" cy="1307857"/>
                          </a:xfrm>
                          <a:prstGeom prst="rect">
                            <a:avLst/>
                          </a:prstGeom>
                        </pic:spPr>
                      </pic:pic>
                    </a:graphicData>
                  </a:graphic>
                </wp:inline>
              </w:drawing>
            </w:r>
          </w:p>
          <w:p w:rsidR="0087271E" w:rsidRPr="002D7692" w:rsidRDefault="0087271E" w:rsidP="00A13337">
            <w:r w:rsidRPr="002D7692">
              <w:t xml:space="preserve">Our performance is </w:t>
            </w:r>
            <w:r w:rsidR="009B2E5D">
              <w:t>better</w:t>
            </w:r>
            <w:r w:rsidR="001167B2" w:rsidRPr="002D7692">
              <w:t xml:space="preserve"> </w:t>
            </w:r>
            <w:r w:rsidRPr="002D7692">
              <w:t>than</w:t>
            </w:r>
            <w:r w:rsidR="009B2E5D">
              <w:t xml:space="preserve"> our benchmark,</w:t>
            </w:r>
            <w:r w:rsidRPr="002D7692">
              <w:t xml:space="preserve"> the sector and RG median for mature students without a previous HE qualification, although percentages are still based on low student numbers (~25).</w:t>
            </w:r>
          </w:p>
          <w:p w:rsidR="00A13337" w:rsidRPr="002D7692" w:rsidRDefault="00D24BD4" w:rsidP="00A13337">
            <w:r w:rsidRPr="002D7692">
              <w:lastRenderedPageBreak/>
              <w:t>Note: N</w:t>
            </w:r>
            <w:r w:rsidR="00A13337" w:rsidRPr="002D7692">
              <w:t>o data available for Tables 3d or 3e</w:t>
            </w:r>
          </w:p>
          <w:p w:rsidR="00A13337" w:rsidRPr="002D7692" w:rsidRDefault="00A13337" w:rsidP="00A13337">
            <w:pPr>
              <w:pStyle w:val="Heading1"/>
              <w:outlineLvl w:val="0"/>
            </w:pPr>
            <w:r w:rsidRPr="002D7692">
              <w:t>T4:  Resumption of study in 201</w:t>
            </w:r>
            <w:r w:rsidR="001167B2" w:rsidRPr="002D7692">
              <w:t>7</w:t>
            </w:r>
            <w:r w:rsidRPr="002D7692">
              <w:t>/1</w:t>
            </w:r>
            <w:r w:rsidR="001167B2" w:rsidRPr="002D7692">
              <w:t>8</w:t>
            </w:r>
            <w:r w:rsidRPr="002D7692">
              <w:t xml:space="preserve">, after year out of HE in </w:t>
            </w:r>
            <w:r w:rsidR="001167B2" w:rsidRPr="002D7692">
              <w:t>2016</w:t>
            </w:r>
            <w:r w:rsidR="00B07DF6" w:rsidRPr="002D7692">
              <w:t>/1</w:t>
            </w:r>
            <w:r w:rsidR="001167B2" w:rsidRPr="002D7692">
              <w:t>7</w:t>
            </w:r>
            <w:r w:rsidRPr="002D7692">
              <w:t xml:space="preserve">: UK domiciled full-time first degree entrants </w:t>
            </w:r>
            <w:r w:rsidR="009F575D">
              <w:t>2014/15 to 2016/17</w:t>
            </w:r>
          </w:p>
          <w:p w:rsidR="00A13337" w:rsidRPr="002D7692" w:rsidRDefault="009F575D" w:rsidP="00A13337">
            <w:pPr>
              <w:rPr>
                <w:rFonts w:ascii="Arial" w:eastAsia="Times New Roman" w:hAnsi="Arial" w:cs="Arial"/>
                <w:b/>
                <w:bCs/>
                <w:sz w:val="24"/>
                <w:szCs w:val="24"/>
                <w:lang w:eastAsia="en-GB"/>
              </w:rPr>
            </w:pPr>
            <w:r>
              <w:rPr>
                <w:noProof/>
                <w:lang w:eastAsia="en-GB"/>
              </w:rPr>
              <w:drawing>
                <wp:inline distT="0" distB="0" distL="0" distR="0" wp14:anchorId="6E5EEB89" wp14:editId="52C4557D">
                  <wp:extent cx="5591175" cy="220027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591175" cy="2200275"/>
                          </a:xfrm>
                          <a:prstGeom prst="rect">
                            <a:avLst/>
                          </a:prstGeom>
                        </pic:spPr>
                      </pic:pic>
                    </a:graphicData>
                  </a:graphic>
                </wp:inline>
              </w:drawing>
            </w:r>
          </w:p>
          <w:p w:rsidR="009F575D" w:rsidRDefault="009F575D" w:rsidP="00A13337">
            <w:pPr>
              <w:rPr>
                <w:rFonts w:eastAsia="Times New Roman" w:cs="Arial"/>
                <w:bCs/>
                <w:szCs w:val="24"/>
                <w:lang w:eastAsia="en-GB"/>
              </w:rPr>
            </w:pPr>
            <w:r>
              <w:rPr>
                <w:rFonts w:eastAsia="Times New Roman" w:cs="Arial"/>
                <w:bCs/>
                <w:szCs w:val="24"/>
                <w:lang w:eastAsia="en-GB"/>
              </w:rPr>
              <w:t>The percentage</w:t>
            </w:r>
            <w:r w:rsidR="00A13337" w:rsidRPr="002D7692">
              <w:rPr>
                <w:rFonts w:eastAsia="Times New Roman" w:cs="Arial"/>
                <w:bCs/>
                <w:szCs w:val="24"/>
                <w:lang w:eastAsia="en-GB"/>
              </w:rPr>
              <w:t xml:space="preserve"> of students who resumed study at Exeter after a year out has </w:t>
            </w:r>
            <w:r w:rsidR="00852399" w:rsidRPr="002D7692">
              <w:rPr>
                <w:rFonts w:eastAsia="Times New Roman" w:cs="Arial"/>
                <w:bCs/>
                <w:szCs w:val="24"/>
                <w:lang w:eastAsia="en-GB"/>
              </w:rPr>
              <w:t xml:space="preserve">increased </w:t>
            </w:r>
            <w:r>
              <w:rPr>
                <w:rFonts w:eastAsia="Times New Roman" w:cs="Arial"/>
                <w:bCs/>
                <w:szCs w:val="24"/>
                <w:lang w:eastAsia="en-GB"/>
              </w:rPr>
              <w:t>for the second year of comparable data</w:t>
            </w:r>
            <w:r w:rsidR="00852399" w:rsidRPr="002D7692">
              <w:rPr>
                <w:rFonts w:eastAsia="Times New Roman" w:cs="Arial"/>
                <w:bCs/>
                <w:szCs w:val="24"/>
                <w:lang w:eastAsia="en-GB"/>
              </w:rPr>
              <w:t>, although it is worth noting that numbers are very low (~1</w:t>
            </w:r>
            <w:r>
              <w:rPr>
                <w:rFonts w:eastAsia="Times New Roman" w:cs="Arial"/>
                <w:bCs/>
                <w:szCs w:val="24"/>
                <w:lang w:eastAsia="en-GB"/>
              </w:rPr>
              <w:t>5 to 20</w:t>
            </w:r>
            <w:r w:rsidR="009B2E5D">
              <w:rPr>
                <w:rFonts w:eastAsia="Times New Roman" w:cs="Arial"/>
                <w:bCs/>
                <w:szCs w:val="24"/>
                <w:lang w:eastAsia="en-GB"/>
              </w:rPr>
              <w:t>), so</w:t>
            </w:r>
            <w:r w:rsidR="00852399" w:rsidRPr="002D7692">
              <w:rPr>
                <w:rFonts w:eastAsia="Times New Roman" w:cs="Arial"/>
                <w:bCs/>
                <w:szCs w:val="24"/>
                <w:lang w:eastAsia="en-GB"/>
              </w:rPr>
              <w:t xml:space="preserve"> it may only be an increase of </w:t>
            </w:r>
            <w:r>
              <w:rPr>
                <w:rFonts w:eastAsia="Times New Roman" w:cs="Arial"/>
                <w:bCs/>
                <w:szCs w:val="24"/>
                <w:lang w:eastAsia="en-GB"/>
              </w:rPr>
              <w:t>a maximum of 9 students</w:t>
            </w:r>
            <w:r w:rsidR="00852399" w:rsidRPr="002D7692">
              <w:rPr>
                <w:rFonts w:eastAsia="Times New Roman" w:cs="Arial"/>
                <w:bCs/>
                <w:szCs w:val="24"/>
                <w:lang w:eastAsia="en-GB"/>
              </w:rPr>
              <w:t xml:space="preserve">. The proportion who transferred to another institution has </w:t>
            </w:r>
            <w:r>
              <w:rPr>
                <w:rFonts w:eastAsia="Times New Roman" w:cs="Arial"/>
                <w:bCs/>
                <w:szCs w:val="24"/>
                <w:lang w:eastAsia="en-GB"/>
              </w:rPr>
              <w:t>increased to 21.7</w:t>
            </w:r>
            <w:r w:rsidR="00852399" w:rsidRPr="002D7692">
              <w:rPr>
                <w:rFonts w:eastAsia="Times New Roman" w:cs="Arial"/>
                <w:bCs/>
                <w:szCs w:val="24"/>
                <w:lang w:eastAsia="en-GB"/>
              </w:rPr>
              <w:t>%, whi</w:t>
            </w:r>
            <w:r>
              <w:rPr>
                <w:rFonts w:eastAsia="Times New Roman" w:cs="Arial"/>
                <w:bCs/>
                <w:szCs w:val="24"/>
                <w:lang w:eastAsia="en-GB"/>
              </w:rPr>
              <w:t xml:space="preserve">ch means that </w:t>
            </w:r>
            <w:r w:rsidR="00852399" w:rsidRPr="002D7692">
              <w:rPr>
                <w:rFonts w:eastAsia="Times New Roman" w:cs="Arial"/>
                <w:bCs/>
                <w:szCs w:val="24"/>
                <w:lang w:eastAsia="en-GB"/>
              </w:rPr>
              <w:t xml:space="preserve">the proportion not in HE has </w:t>
            </w:r>
            <w:r>
              <w:rPr>
                <w:rFonts w:eastAsia="Times New Roman" w:cs="Arial"/>
                <w:bCs/>
                <w:szCs w:val="24"/>
                <w:lang w:eastAsia="en-GB"/>
              </w:rPr>
              <w:t>dropp</w:t>
            </w:r>
            <w:r w:rsidR="00852399" w:rsidRPr="002D7692">
              <w:rPr>
                <w:rFonts w:eastAsia="Times New Roman" w:cs="Arial"/>
                <w:bCs/>
                <w:szCs w:val="24"/>
                <w:lang w:eastAsia="en-GB"/>
              </w:rPr>
              <w:t>ed</w:t>
            </w:r>
            <w:r>
              <w:rPr>
                <w:rFonts w:eastAsia="Times New Roman" w:cs="Arial"/>
                <w:bCs/>
                <w:szCs w:val="24"/>
                <w:lang w:eastAsia="en-GB"/>
              </w:rPr>
              <w:t xml:space="preserve"> by</w:t>
            </w:r>
            <w:r w:rsidR="001167B2" w:rsidRPr="002D7692">
              <w:rPr>
                <w:rFonts w:eastAsia="Times New Roman" w:cs="Arial"/>
                <w:bCs/>
                <w:szCs w:val="24"/>
                <w:lang w:eastAsia="en-GB"/>
              </w:rPr>
              <w:t xml:space="preserve"> 7</w:t>
            </w:r>
            <w:r>
              <w:rPr>
                <w:rFonts w:eastAsia="Times New Roman" w:cs="Arial"/>
                <w:bCs/>
                <w:szCs w:val="24"/>
                <w:lang w:eastAsia="en-GB"/>
              </w:rPr>
              <w:t>.3</w:t>
            </w:r>
            <w:r w:rsidR="001167B2" w:rsidRPr="002D7692">
              <w:rPr>
                <w:rFonts w:eastAsia="Times New Roman" w:cs="Arial"/>
                <w:bCs/>
                <w:szCs w:val="24"/>
                <w:lang w:eastAsia="en-GB"/>
              </w:rPr>
              <w:t>%</w:t>
            </w:r>
            <w:r>
              <w:rPr>
                <w:rFonts w:eastAsia="Times New Roman" w:cs="Arial"/>
                <w:bCs/>
                <w:szCs w:val="24"/>
                <w:lang w:eastAsia="en-GB"/>
              </w:rPr>
              <w:t xml:space="preserve"> to 60.9%</w:t>
            </w:r>
            <w:r w:rsidR="001167B2" w:rsidRPr="002D7692">
              <w:rPr>
                <w:rFonts w:eastAsia="Times New Roman" w:cs="Arial"/>
                <w:bCs/>
                <w:szCs w:val="24"/>
                <w:lang w:eastAsia="en-GB"/>
              </w:rPr>
              <w:t xml:space="preserve">. </w:t>
            </w:r>
          </w:p>
          <w:p w:rsidR="00A13337" w:rsidRPr="002D7692" w:rsidRDefault="009F575D" w:rsidP="00A13337">
            <w:pPr>
              <w:rPr>
                <w:rFonts w:eastAsia="Times New Roman" w:cs="Arial"/>
                <w:bCs/>
                <w:szCs w:val="24"/>
                <w:lang w:eastAsia="en-GB"/>
              </w:rPr>
            </w:pPr>
            <w:r>
              <w:rPr>
                <w:rFonts w:eastAsia="Times New Roman" w:cs="Arial"/>
                <w:bCs/>
                <w:szCs w:val="24"/>
                <w:lang w:eastAsia="en-GB"/>
              </w:rPr>
              <w:t>Although benchmarks are not available for the top set of data in the above table, HESA do provide comparable data for the percentage of students in not in HE for 2 years after entry. We perform better than both the sector average and Russe</w:t>
            </w:r>
            <w:r w:rsidR="009B2E5D">
              <w:rPr>
                <w:rFonts w:eastAsia="Times New Roman" w:cs="Arial"/>
                <w:bCs/>
                <w:szCs w:val="24"/>
                <w:lang w:eastAsia="en-GB"/>
              </w:rPr>
              <w:t>l</w:t>
            </w:r>
            <w:r>
              <w:rPr>
                <w:rFonts w:eastAsia="Times New Roman" w:cs="Arial"/>
                <w:bCs/>
                <w:szCs w:val="24"/>
                <w:lang w:eastAsia="en-GB"/>
              </w:rPr>
              <w:t>l Group</w:t>
            </w:r>
            <w:r w:rsidR="009B2E5D">
              <w:rPr>
                <w:rFonts w:eastAsia="Times New Roman" w:cs="Arial"/>
                <w:bCs/>
                <w:szCs w:val="24"/>
                <w:lang w:eastAsia="en-GB"/>
              </w:rPr>
              <w:t xml:space="preserve"> median</w:t>
            </w:r>
            <w:r>
              <w:rPr>
                <w:rFonts w:eastAsia="Times New Roman" w:cs="Arial"/>
                <w:bCs/>
                <w:szCs w:val="24"/>
                <w:lang w:eastAsia="en-GB"/>
              </w:rPr>
              <w:t xml:space="preserve"> in this measure.</w:t>
            </w:r>
          </w:p>
          <w:p w:rsidR="00A13337" w:rsidRPr="002D7692" w:rsidRDefault="00A13337" w:rsidP="00A13337">
            <w:r w:rsidRPr="002D7692">
              <w:t>Note: No data is available for Table 4b.</w:t>
            </w:r>
          </w:p>
          <w:p w:rsidR="00A13337" w:rsidRPr="002D7692" w:rsidRDefault="00A13337" w:rsidP="00A13337">
            <w:pPr>
              <w:pStyle w:val="Heading1"/>
              <w:outlineLvl w:val="0"/>
            </w:pPr>
            <w:r w:rsidRPr="002D7692">
              <w:t>T5: Projected outcomes: UK domiciled full-time students st</w:t>
            </w:r>
            <w:r w:rsidR="00B07DF6" w:rsidRPr="002D7692">
              <w:t>arting first degree courses 201</w:t>
            </w:r>
            <w:r w:rsidR="001167B2" w:rsidRPr="002D7692">
              <w:t>6</w:t>
            </w:r>
            <w:r w:rsidR="00B07DF6" w:rsidRPr="002D7692">
              <w:t>/1</w:t>
            </w:r>
            <w:r w:rsidR="001167B2" w:rsidRPr="002D7692">
              <w:t>7</w:t>
            </w:r>
          </w:p>
          <w:p w:rsidR="00A13337" w:rsidRPr="002D7692" w:rsidRDefault="009F575D" w:rsidP="00A13337">
            <w:r>
              <w:rPr>
                <w:noProof/>
                <w:lang w:eastAsia="en-GB"/>
              </w:rPr>
              <w:drawing>
                <wp:inline distT="0" distB="0" distL="0" distR="0" wp14:anchorId="64C9A4CE" wp14:editId="753A05D5">
                  <wp:extent cx="5556925" cy="82867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558068" cy="828845"/>
                          </a:xfrm>
                          <a:prstGeom prst="rect">
                            <a:avLst/>
                          </a:prstGeom>
                        </pic:spPr>
                      </pic:pic>
                    </a:graphicData>
                  </a:graphic>
                </wp:inline>
              </w:drawing>
            </w:r>
          </w:p>
          <w:p w:rsidR="00B07DF6" w:rsidRPr="002D7692" w:rsidRDefault="00B56BE4" w:rsidP="00A13337">
            <w:r>
              <w:t xml:space="preserve">The percentage </w:t>
            </w:r>
            <w:r w:rsidR="00A13337" w:rsidRPr="002D7692">
              <w:t>of students projected to complete their degree is 9</w:t>
            </w:r>
            <w:r>
              <w:t>1</w:t>
            </w:r>
            <w:r w:rsidR="00A13337" w:rsidRPr="002D7692">
              <w:t>.</w:t>
            </w:r>
            <w:r w:rsidR="00B07DF6" w:rsidRPr="002D7692">
              <w:t>1</w:t>
            </w:r>
            <w:r w:rsidR="00A13337" w:rsidRPr="002D7692">
              <w:t>%</w:t>
            </w:r>
            <w:r>
              <w:t xml:space="preserve"> for 2017/18 entrants</w:t>
            </w:r>
            <w:r w:rsidR="00A13337" w:rsidRPr="002D7692">
              <w:t xml:space="preserve">. </w:t>
            </w:r>
            <w:r>
              <w:t>This is a decrease of 1.3% versus last year, and the first time since 2012/13 that we have been below 92%. However we remain well above the sector average and Russell Group median.</w:t>
            </w:r>
          </w:p>
          <w:p w:rsidR="00744A79" w:rsidRPr="002D7692" w:rsidRDefault="00A13337" w:rsidP="00105183">
            <w:r w:rsidRPr="002D7692">
              <w:lastRenderedPageBreak/>
              <w:t xml:space="preserve">Although this shows </w:t>
            </w:r>
            <w:r w:rsidR="00B56BE4">
              <w:t>8.9</w:t>
            </w:r>
            <w:r w:rsidRPr="002D7692">
              <w:t xml:space="preserve">% of students are not projected </w:t>
            </w:r>
            <w:r w:rsidR="00C17F6C" w:rsidRPr="002D7692">
              <w:t>to achieve their course aim, 3.4</w:t>
            </w:r>
            <w:r w:rsidRPr="002D7692">
              <w:t xml:space="preserve">% of these are expected to transfer to another institution </w:t>
            </w:r>
            <w:r w:rsidR="00C17F6C" w:rsidRPr="002D7692">
              <w:t xml:space="preserve">and </w:t>
            </w:r>
            <w:r w:rsidR="00B56BE4">
              <w:t>1.4</w:t>
            </w:r>
            <w:r w:rsidRPr="002D7692">
              <w:t xml:space="preserve">% are expected to receive another (lower) award. </w:t>
            </w:r>
          </w:p>
          <w:p w:rsidR="002D7692" w:rsidRPr="002D7692" w:rsidRDefault="002D7692" w:rsidP="00105183">
            <w:r w:rsidRPr="002D7692">
              <w:t>This data is used by both the Times Good University Guide and Complete University Guide in their institution level rankings, although they both include the transfer category in t</w:t>
            </w:r>
            <w:r w:rsidRPr="002D7692">
              <w:t>heir positive score calculation.</w:t>
            </w:r>
            <w:r w:rsidR="00B56BE4">
              <w:t xml:space="preserve"> On the basis of the calculation used by the league table compilers our score has dropped from </w:t>
            </w:r>
            <w:r w:rsidR="00F7390C">
              <w:t>95.8% to 94.6%.</w:t>
            </w:r>
          </w:p>
          <w:p w:rsidR="001322FB" w:rsidRPr="002D7692" w:rsidRDefault="001322FB" w:rsidP="001167B2"/>
        </w:tc>
      </w:tr>
      <w:tr w:rsidR="009943F9" w:rsidTr="009754F9">
        <w:tc>
          <w:tcPr>
            <w:tcW w:w="9242" w:type="dxa"/>
          </w:tcPr>
          <w:p w:rsidR="009943F9" w:rsidRPr="00446D75" w:rsidRDefault="009943F9" w:rsidP="001322FB">
            <w:pPr>
              <w:pStyle w:val="Heading1"/>
              <w:outlineLvl w:val="0"/>
            </w:pPr>
            <w:r w:rsidRPr="00446D75">
              <w:lastRenderedPageBreak/>
              <w:t>Conclusion:</w:t>
            </w:r>
          </w:p>
          <w:p w:rsidR="00D24BD4" w:rsidRPr="00446D75" w:rsidRDefault="00767829" w:rsidP="001D58E2">
            <w:r w:rsidRPr="00446D75">
              <w:t xml:space="preserve">Performance has </w:t>
            </w:r>
            <w:r w:rsidR="00B56BE4" w:rsidRPr="00446D75">
              <w:t>generally weakened versus previous years, though only by small percentage changes in most cases</w:t>
            </w:r>
            <w:r w:rsidR="006141BE" w:rsidRPr="00446D75">
              <w:t>.</w:t>
            </w:r>
          </w:p>
          <w:p w:rsidR="00D24BD4" w:rsidRPr="00446D75" w:rsidRDefault="00B56BE4" w:rsidP="001D58E2">
            <w:r w:rsidRPr="00446D75">
              <w:t>P</w:t>
            </w:r>
            <w:r w:rsidR="0097623D" w:rsidRPr="00446D75">
              <w:t>erformance remains better than benchmark in all tables</w:t>
            </w:r>
            <w:r w:rsidR="00C17F6C" w:rsidRPr="00446D75">
              <w:t xml:space="preserve"> except for mature </w:t>
            </w:r>
            <w:r w:rsidRPr="00446D75">
              <w:t>student splits</w:t>
            </w:r>
            <w:r w:rsidR="0097623D" w:rsidRPr="00446D75">
              <w:t xml:space="preserve">. </w:t>
            </w:r>
            <w:r w:rsidR="00AF32DC" w:rsidRPr="00446D75">
              <w:t xml:space="preserve">Non-continuation remains an area of strong performance for Exeter as we outperform the sector </w:t>
            </w:r>
            <w:r w:rsidR="00C17F6C" w:rsidRPr="00446D75">
              <w:t xml:space="preserve">and </w:t>
            </w:r>
            <w:r w:rsidR="00AF32DC" w:rsidRPr="00446D75">
              <w:t xml:space="preserve">the Russell Group median in most </w:t>
            </w:r>
            <w:r w:rsidR="00C17F6C" w:rsidRPr="00446D75">
              <w:t>indicators</w:t>
            </w:r>
            <w:r w:rsidR="00AF32DC" w:rsidRPr="00446D75">
              <w:t>.</w:t>
            </w:r>
          </w:p>
          <w:p w:rsidR="006141BE" w:rsidRPr="00446D75" w:rsidRDefault="00B56BE4" w:rsidP="001D58E2">
            <w:r w:rsidRPr="00446D75">
              <w:t>The weakening of the projected outcomes score will impact negatively on the next round of league tables</w:t>
            </w:r>
            <w:r w:rsidR="00446D75" w:rsidRPr="00446D75">
              <w:t xml:space="preserve"> using this metric (Times and Complete)</w:t>
            </w:r>
            <w:r w:rsidRPr="00446D75">
              <w:t xml:space="preserve"> to be published, though overall performance</w:t>
            </w:r>
            <w:r w:rsidR="00446D75" w:rsidRPr="00446D75">
              <w:t xml:space="preserve"> </w:t>
            </w:r>
            <w:r w:rsidRPr="00446D75">
              <w:t>will rely on performance across a range of indicators included in the tables.</w:t>
            </w:r>
          </w:p>
          <w:p w:rsidR="00767829" w:rsidRPr="00446D75" w:rsidRDefault="0097623D" w:rsidP="001D58E2">
            <w:r w:rsidRPr="00446D75">
              <w:t xml:space="preserve">Internal estimates suggest that next year’s non-continuation rate </w:t>
            </w:r>
            <w:r w:rsidR="00446D75" w:rsidRPr="00446D75">
              <w:t>improve</w:t>
            </w:r>
            <w:r w:rsidRPr="00446D75">
              <w:t xml:space="preserve"> slightly.</w:t>
            </w:r>
          </w:p>
          <w:p w:rsidR="00A17B6C" w:rsidRPr="00446D75" w:rsidRDefault="00A17B6C" w:rsidP="00A17B6C">
            <w:pPr>
              <w:pStyle w:val="Heading1"/>
              <w:outlineLvl w:val="0"/>
            </w:pPr>
            <w:r w:rsidRPr="00446D75">
              <w:t>Next steps</w:t>
            </w:r>
          </w:p>
          <w:p w:rsidR="00A17B6C" w:rsidRPr="00446D75" w:rsidRDefault="00A17B6C" w:rsidP="00A17B6C">
            <w:r w:rsidRPr="00446D75">
              <w:t>HESA are releasing their PI data in 3 tranches:</w:t>
            </w:r>
          </w:p>
          <w:p w:rsidR="00A17B6C" w:rsidRPr="00446D75" w:rsidRDefault="00A17B6C" w:rsidP="00A17B6C">
            <w:pPr>
              <w:pStyle w:val="ListParagraph"/>
              <w:numPr>
                <w:ilvl w:val="0"/>
                <w:numId w:val="9"/>
              </w:numPr>
            </w:pPr>
            <w:r w:rsidRPr="00446D75">
              <w:t>Tranche 1</w:t>
            </w:r>
            <w:r w:rsidR="008E599D" w:rsidRPr="00446D75">
              <w:t>:</w:t>
            </w:r>
            <w:r w:rsidRPr="00446D75">
              <w:t xml:space="preserve"> WP indicators published </w:t>
            </w:r>
            <w:r w:rsidR="00C17F6C" w:rsidRPr="00446D75">
              <w:t>in</w:t>
            </w:r>
            <w:r w:rsidR="008E599D" w:rsidRPr="00446D75">
              <w:t xml:space="preserve"> February 20</w:t>
            </w:r>
            <w:r w:rsidR="00B56BE4" w:rsidRPr="00446D75">
              <w:t>20</w:t>
            </w:r>
            <w:r w:rsidR="008E599D" w:rsidRPr="00446D75">
              <w:t xml:space="preserve"> (covered in </w:t>
            </w:r>
            <w:r w:rsidR="00795541" w:rsidRPr="00446D75">
              <w:t>earlier</w:t>
            </w:r>
            <w:r w:rsidR="008E599D" w:rsidRPr="00446D75">
              <w:t xml:space="preserve"> briefing</w:t>
            </w:r>
            <w:r w:rsidR="00C17F6C" w:rsidRPr="00446D75">
              <w:t>)</w:t>
            </w:r>
          </w:p>
          <w:p w:rsidR="00A17B6C" w:rsidRPr="00446D75" w:rsidRDefault="00A17B6C" w:rsidP="00A17B6C">
            <w:pPr>
              <w:pStyle w:val="ListParagraph"/>
              <w:numPr>
                <w:ilvl w:val="0"/>
                <w:numId w:val="9"/>
              </w:numPr>
            </w:pPr>
            <w:r w:rsidRPr="00446D75">
              <w:t xml:space="preserve">Tranche 2: Non-continuation indicators </w:t>
            </w:r>
            <w:r w:rsidR="00E44C57" w:rsidRPr="00446D75">
              <w:t>(covered in this briefing)</w:t>
            </w:r>
          </w:p>
          <w:p w:rsidR="009943F9" w:rsidRPr="00446D75" w:rsidRDefault="00A17B6C" w:rsidP="00B56BE4">
            <w:pPr>
              <w:pStyle w:val="ListParagraph"/>
              <w:numPr>
                <w:ilvl w:val="0"/>
                <w:numId w:val="9"/>
              </w:numPr>
            </w:pPr>
            <w:r w:rsidRPr="00446D75">
              <w:t xml:space="preserve">Tranche 3: Employment indicators will be published in </w:t>
            </w:r>
            <w:r w:rsidR="00B56BE4" w:rsidRPr="00446D75">
              <w:t>April or May 2020</w:t>
            </w:r>
            <w:r w:rsidR="00E44C57" w:rsidRPr="00446D75">
              <w:t xml:space="preserve"> (exact dates tbc)</w:t>
            </w:r>
            <w:r w:rsidR="00B56BE4" w:rsidRPr="00446D75">
              <w:t>.</w:t>
            </w:r>
            <w:r w:rsidR="00795541" w:rsidRPr="00446D75">
              <w:t xml:space="preserve"> </w:t>
            </w:r>
            <w:r w:rsidR="00B56BE4" w:rsidRPr="00446D75">
              <w:t>These indicators will be based on the new Graduate Outcomes survey, and therefore will not be directly comparable to previous years.</w:t>
            </w:r>
          </w:p>
        </w:tc>
      </w:tr>
      <w:tr w:rsidR="009943F9" w:rsidTr="009754F9">
        <w:tc>
          <w:tcPr>
            <w:tcW w:w="9242" w:type="dxa"/>
          </w:tcPr>
          <w:p w:rsidR="007E4CE2" w:rsidRPr="00924078" w:rsidRDefault="009943F9" w:rsidP="00924078">
            <w:pPr>
              <w:pStyle w:val="NoSpacing"/>
              <w:rPr>
                <w:highlight w:val="yellow"/>
              </w:rPr>
            </w:pPr>
            <w:r w:rsidRPr="00924078">
              <w:rPr>
                <w:b/>
              </w:rPr>
              <w:t xml:space="preserve">Data Source: </w:t>
            </w:r>
            <w:r w:rsidR="00A17B6C" w:rsidRPr="00924078">
              <w:t xml:space="preserve">HESA PI </w:t>
            </w:r>
            <w:r w:rsidR="00E44C57" w:rsidRPr="00924078">
              <w:t xml:space="preserve">Publication </w:t>
            </w:r>
            <w:r w:rsidR="00924078" w:rsidRPr="00924078">
              <w:t>27</w:t>
            </w:r>
            <w:r w:rsidR="00924078" w:rsidRPr="00924078">
              <w:rPr>
                <w:vertAlign w:val="superscript"/>
              </w:rPr>
              <w:t>th</w:t>
            </w:r>
            <w:r w:rsidR="00924078" w:rsidRPr="00924078">
              <w:t xml:space="preserve"> February 2020</w:t>
            </w:r>
          </w:p>
        </w:tc>
      </w:tr>
    </w:tbl>
    <w:p w:rsidR="00B523DB" w:rsidRDefault="00B523DB" w:rsidP="00C17F6C"/>
    <w:sectPr w:rsidR="00B523DB">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1B09" w:rsidRDefault="00231B09" w:rsidP="009943F9">
      <w:pPr>
        <w:spacing w:after="0" w:line="240" w:lineRule="auto"/>
      </w:pPr>
      <w:r>
        <w:separator/>
      </w:r>
    </w:p>
  </w:endnote>
  <w:endnote w:type="continuationSeparator" w:id="0">
    <w:p w:rsidR="00231B09" w:rsidRDefault="00231B09" w:rsidP="00994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1B09" w:rsidRDefault="00231B09" w:rsidP="009943F9">
      <w:pPr>
        <w:spacing w:after="0" w:line="240" w:lineRule="auto"/>
      </w:pPr>
      <w:r>
        <w:separator/>
      </w:r>
    </w:p>
  </w:footnote>
  <w:footnote w:type="continuationSeparator" w:id="0">
    <w:p w:rsidR="00231B09" w:rsidRDefault="00231B09" w:rsidP="009943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43F9" w:rsidRDefault="009943F9" w:rsidP="00E7486E">
    <w:pPr>
      <w:pStyle w:val="Header"/>
      <w:jc w:val="right"/>
      <w:rPr>
        <w:rFonts w:ascii="Arial" w:hAnsi="Arial" w:cs="Arial"/>
      </w:rPr>
    </w:pPr>
    <w:r>
      <w:rPr>
        <w:noProof/>
        <w:lang w:eastAsia="en-GB"/>
      </w:rPr>
      <w:drawing>
        <wp:anchor distT="0" distB="0" distL="114300" distR="114300" simplePos="0" relativeHeight="251659264" behindDoc="1" locked="0" layoutInCell="1" allowOverlap="1" wp14:anchorId="4851F3E8" wp14:editId="0B06D683">
          <wp:simplePos x="0" y="0"/>
          <wp:positionH relativeFrom="column">
            <wp:posOffset>0</wp:posOffset>
          </wp:positionH>
          <wp:positionV relativeFrom="paragraph">
            <wp:posOffset>8890</wp:posOffset>
          </wp:positionV>
          <wp:extent cx="1371600" cy="619125"/>
          <wp:effectExtent l="0" t="0" r="0" b="9525"/>
          <wp:wrapTight wrapText="bothSides">
            <wp:wrapPolygon edited="0">
              <wp:start x="0" y="0"/>
              <wp:lineTo x="0" y="21268"/>
              <wp:lineTo x="21300" y="21268"/>
              <wp:lineTo x="21300" y="0"/>
              <wp:lineTo x="0" y="0"/>
            </wp:wrapPolygon>
          </wp:wrapTight>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r>
      <w:rPr>
        <w:rFonts w:ascii="Arial" w:hAnsi="Arial" w:cs="Arial"/>
      </w:rPr>
      <w:tab/>
      <w:t>UNIVERSITY OF EXETER</w:t>
    </w:r>
  </w:p>
  <w:p w:rsidR="009943F9" w:rsidRPr="00A257E9" w:rsidRDefault="00E7486E" w:rsidP="009943F9">
    <w:pPr>
      <w:tabs>
        <w:tab w:val="left" w:pos="975"/>
        <w:tab w:val="right" w:pos="9026"/>
      </w:tabs>
      <w:spacing w:after="0" w:line="240" w:lineRule="auto"/>
      <w:rPr>
        <w:rFonts w:ascii="Calibri" w:eastAsia="Times New Roman" w:hAnsi="Calibri" w:cs="Arial"/>
        <w:b/>
        <w:bCs/>
        <w:color w:val="538DD5"/>
        <w:sz w:val="24"/>
        <w:szCs w:val="24"/>
        <w:lang w:eastAsia="en-GB"/>
      </w:rPr>
    </w:pPr>
    <w:r>
      <w:rPr>
        <w:rFonts w:ascii="Calibri" w:eastAsia="Times New Roman" w:hAnsi="Calibri" w:cs="Arial"/>
        <w:b/>
        <w:bCs/>
        <w:color w:val="538DD5"/>
        <w:sz w:val="24"/>
        <w:szCs w:val="24"/>
        <w:lang w:eastAsia="en-GB"/>
      </w:rPr>
      <w:tab/>
    </w:r>
    <w:r w:rsidR="009943F9" w:rsidRPr="00A257E9">
      <w:rPr>
        <w:rFonts w:ascii="Calibri" w:eastAsia="Times New Roman" w:hAnsi="Calibri" w:cs="Arial"/>
        <w:b/>
        <w:bCs/>
        <w:color w:val="538DD5"/>
        <w:sz w:val="24"/>
        <w:szCs w:val="24"/>
        <w:lang w:eastAsia="en-GB"/>
      </w:rPr>
      <w:t>POLICY, PLANNING &amp; BI</w:t>
    </w:r>
  </w:p>
  <w:p w:rsidR="009943F9" w:rsidRDefault="009943F9">
    <w:pPr>
      <w:pStyle w:val="Header"/>
    </w:pPr>
  </w:p>
  <w:p w:rsidR="009943F9" w:rsidRDefault="009943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AC3784"/>
    <w:multiLevelType w:val="hybridMultilevel"/>
    <w:tmpl w:val="23889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136EDB"/>
    <w:multiLevelType w:val="hybridMultilevel"/>
    <w:tmpl w:val="107CE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7118EA"/>
    <w:multiLevelType w:val="hybridMultilevel"/>
    <w:tmpl w:val="E95A9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552C8A"/>
    <w:multiLevelType w:val="hybridMultilevel"/>
    <w:tmpl w:val="AD46E4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68532CE"/>
    <w:multiLevelType w:val="hybridMultilevel"/>
    <w:tmpl w:val="6CE2A9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FA1C34"/>
    <w:multiLevelType w:val="hybridMultilevel"/>
    <w:tmpl w:val="6FE6281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B342509"/>
    <w:multiLevelType w:val="hybridMultilevel"/>
    <w:tmpl w:val="128CE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3503D0B"/>
    <w:multiLevelType w:val="hybridMultilevel"/>
    <w:tmpl w:val="FE62BE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DC13538"/>
    <w:multiLevelType w:val="hybridMultilevel"/>
    <w:tmpl w:val="C7B27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5B0ABD"/>
    <w:multiLevelType w:val="hybridMultilevel"/>
    <w:tmpl w:val="29842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
  </w:num>
  <w:num w:numId="4">
    <w:abstractNumId w:val="6"/>
  </w:num>
  <w:num w:numId="5">
    <w:abstractNumId w:val="0"/>
  </w:num>
  <w:num w:numId="6">
    <w:abstractNumId w:val="2"/>
  </w:num>
  <w:num w:numId="7">
    <w:abstractNumId w:val="4"/>
  </w:num>
  <w:num w:numId="8">
    <w:abstractNumId w:val="7"/>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3F9"/>
    <w:rsid w:val="000000C8"/>
    <w:rsid w:val="000010A9"/>
    <w:rsid w:val="00001FAD"/>
    <w:rsid w:val="000047C4"/>
    <w:rsid w:val="00004FA0"/>
    <w:rsid w:val="00005579"/>
    <w:rsid w:val="00007501"/>
    <w:rsid w:val="00007B4D"/>
    <w:rsid w:val="00007B8B"/>
    <w:rsid w:val="000108D4"/>
    <w:rsid w:val="0001176D"/>
    <w:rsid w:val="0001287E"/>
    <w:rsid w:val="00013059"/>
    <w:rsid w:val="00013F4D"/>
    <w:rsid w:val="00014205"/>
    <w:rsid w:val="00014F37"/>
    <w:rsid w:val="000153B2"/>
    <w:rsid w:val="00017309"/>
    <w:rsid w:val="000213AE"/>
    <w:rsid w:val="00023800"/>
    <w:rsid w:val="000247C1"/>
    <w:rsid w:val="00025958"/>
    <w:rsid w:val="000269E3"/>
    <w:rsid w:val="00026BD1"/>
    <w:rsid w:val="000276AB"/>
    <w:rsid w:val="00031A2B"/>
    <w:rsid w:val="000321CC"/>
    <w:rsid w:val="000332BE"/>
    <w:rsid w:val="00035104"/>
    <w:rsid w:val="00036064"/>
    <w:rsid w:val="0003606F"/>
    <w:rsid w:val="000362AC"/>
    <w:rsid w:val="00036BB0"/>
    <w:rsid w:val="00037475"/>
    <w:rsid w:val="00037A56"/>
    <w:rsid w:val="000400A6"/>
    <w:rsid w:val="0004156B"/>
    <w:rsid w:val="00042052"/>
    <w:rsid w:val="00043BFF"/>
    <w:rsid w:val="00043D52"/>
    <w:rsid w:val="000445A6"/>
    <w:rsid w:val="00046226"/>
    <w:rsid w:val="000476D6"/>
    <w:rsid w:val="00050009"/>
    <w:rsid w:val="00050FBB"/>
    <w:rsid w:val="00051CC9"/>
    <w:rsid w:val="00054853"/>
    <w:rsid w:val="000548DA"/>
    <w:rsid w:val="00056645"/>
    <w:rsid w:val="0006017C"/>
    <w:rsid w:val="000601FE"/>
    <w:rsid w:val="00064C87"/>
    <w:rsid w:val="000652D0"/>
    <w:rsid w:val="00065606"/>
    <w:rsid w:val="00065A5D"/>
    <w:rsid w:val="0006673B"/>
    <w:rsid w:val="00070675"/>
    <w:rsid w:val="00070B6F"/>
    <w:rsid w:val="000716F2"/>
    <w:rsid w:val="00071A03"/>
    <w:rsid w:val="00073AC4"/>
    <w:rsid w:val="000743E2"/>
    <w:rsid w:val="00077E4C"/>
    <w:rsid w:val="000809EB"/>
    <w:rsid w:val="00080DD8"/>
    <w:rsid w:val="0008175B"/>
    <w:rsid w:val="00081D3C"/>
    <w:rsid w:val="000822D1"/>
    <w:rsid w:val="000828E6"/>
    <w:rsid w:val="00090324"/>
    <w:rsid w:val="00090C8F"/>
    <w:rsid w:val="00091391"/>
    <w:rsid w:val="000913B6"/>
    <w:rsid w:val="00091E60"/>
    <w:rsid w:val="000936CB"/>
    <w:rsid w:val="00094134"/>
    <w:rsid w:val="00094A31"/>
    <w:rsid w:val="00095A57"/>
    <w:rsid w:val="0009629A"/>
    <w:rsid w:val="0009647F"/>
    <w:rsid w:val="00096B50"/>
    <w:rsid w:val="000A1246"/>
    <w:rsid w:val="000A16B7"/>
    <w:rsid w:val="000A265A"/>
    <w:rsid w:val="000A3AB7"/>
    <w:rsid w:val="000A52B0"/>
    <w:rsid w:val="000A5406"/>
    <w:rsid w:val="000A5BA3"/>
    <w:rsid w:val="000A6042"/>
    <w:rsid w:val="000A7B4A"/>
    <w:rsid w:val="000B067C"/>
    <w:rsid w:val="000B2CCC"/>
    <w:rsid w:val="000B2F05"/>
    <w:rsid w:val="000B541A"/>
    <w:rsid w:val="000B781B"/>
    <w:rsid w:val="000C0269"/>
    <w:rsid w:val="000C144F"/>
    <w:rsid w:val="000C2BA3"/>
    <w:rsid w:val="000C2F76"/>
    <w:rsid w:val="000C35A7"/>
    <w:rsid w:val="000C41D6"/>
    <w:rsid w:val="000C4442"/>
    <w:rsid w:val="000C45D8"/>
    <w:rsid w:val="000C66F5"/>
    <w:rsid w:val="000C7912"/>
    <w:rsid w:val="000D0B00"/>
    <w:rsid w:val="000D244F"/>
    <w:rsid w:val="000D27C2"/>
    <w:rsid w:val="000D36FD"/>
    <w:rsid w:val="000D3D09"/>
    <w:rsid w:val="000D403A"/>
    <w:rsid w:val="000D435B"/>
    <w:rsid w:val="000D5625"/>
    <w:rsid w:val="000D634F"/>
    <w:rsid w:val="000E03EE"/>
    <w:rsid w:val="000E1E40"/>
    <w:rsid w:val="000E1F63"/>
    <w:rsid w:val="000E2AA4"/>
    <w:rsid w:val="000E2B0E"/>
    <w:rsid w:val="000E3DF4"/>
    <w:rsid w:val="000E4231"/>
    <w:rsid w:val="000E492A"/>
    <w:rsid w:val="000E6AF7"/>
    <w:rsid w:val="000E7C7D"/>
    <w:rsid w:val="000F1F25"/>
    <w:rsid w:val="000F216A"/>
    <w:rsid w:val="000F238F"/>
    <w:rsid w:val="000F3895"/>
    <w:rsid w:val="000F3A0E"/>
    <w:rsid w:val="000F636C"/>
    <w:rsid w:val="00100080"/>
    <w:rsid w:val="0010284E"/>
    <w:rsid w:val="00103BC7"/>
    <w:rsid w:val="001040CA"/>
    <w:rsid w:val="001049B2"/>
    <w:rsid w:val="00105183"/>
    <w:rsid w:val="00106437"/>
    <w:rsid w:val="00106EC0"/>
    <w:rsid w:val="00107DF0"/>
    <w:rsid w:val="00110B2D"/>
    <w:rsid w:val="001128D6"/>
    <w:rsid w:val="00112B7C"/>
    <w:rsid w:val="00112FF3"/>
    <w:rsid w:val="00113911"/>
    <w:rsid w:val="00113ABA"/>
    <w:rsid w:val="00114736"/>
    <w:rsid w:val="001154CA"/>
    <w:rsid w:val="00115FBD"/>
    <w:rsid w:val="001167B2"/>
    <w:rsid w:val="00116970"/>
    <w:rsid w:val="001171C6"/>
    <w:rsid w:val="001172CF"/>
    <w:rsid w:val="0011785D"/>
    <w:rsid w:val="00117A61"/>
    <w:rsid w:val="00117F0D"/>
    <w:rsid w:val="00120D25"/>
    <w:rsid w:val="00126D0D"/>
    <w:rsid w:val="0013029A"/>
    <w:rsid w:val="00131092"/>
    <w:rsid w:val="0013156D"/>
    <w:rsid w:val="001322FB"/>
    <w:rsid w:val="00133AB7"/>
    <w:rsid w:val="00136734"/>
    <w:rsid w:val="001372DE"/>
    <w:rsid w:val="00140BDF"/>
    <w:rsid w:val="00140CB4"/>
    <w:rsid w:val="00141836"/>
    <w:rsid w:val="0014287A"/>
    <w:rsid w:val="00142CC0"/>
    <w:rsid w:val="00142D01"/>
    <w:rsid w:val="001435C6"/>
    <w:rsid w:val="001446DE"/>
    <w:rsid w:val="00145158"/>
    <w:rsid w:val="001453FB"/>
    <w:rsid w:val="0014779E"/>
    <w:rsid w:val="00150FD4"/>
    <w:rsid w:val="001510A2"/>
    <w:rsid w:val="001512A7"/>
    <w:rsid w:val="00151C04"/>
    <w:rsid w:val="00152655"/>
    <w:rsid w:val="001536B9"/>
    <w:rsid w:val="00156EF7"/>
    <w:rsid w:val="00157718"/>
    <w:rsid w:val="001605B1"/>
    <w:rsid w:val="00163DE2"/>
    <w:rsid w:val="00164C9B"/>
    <w:rsid w:val="00167CEA"/>
    <w:rsid w:val="00170F83"/>
    <w:rsid w:val="00174033"/>
    <w:rsid w:val="00174B67"/>
    <w:rsid w:val="00174C7B"/>
    <w:rsid w:val="001760CC"/>
    <w:rsid w:val="00176F91"/>
    <w:rsid w:val="00182022"/>
    <w:rsid w:val="0018223D"/>
    <w:rsid w:val="001824ED"/>
    <w:rsid w:val="0018259D"/>
    <w:rsid w:val="00183558"/>
    <w:rsid w:val="00184F29"/>
    <w:rsid w:val="001861CF"/>
    <w:rsid w:val="00186508"/>
    <w:rsid w:val="001911CA"/>
    <w:rsid w:val="001912AC"/>
    <w:rsid w:val="00193657"/>
    <w:rsid w:val="0019513B"/>
    <w:rsid w:val="00195282"/>
    <w:rsid w:val="00195A62"/>
    <w:rsid w:val="0019657E"/>
    <w:rsid w:val="00196AD8"/>
    <w:rsid w:val="001A0010"/>
    <w:rsid w:val="001A0239"/>
    <w:rsid w:val="001A0953"/>
    <w:rsid w:val="001A1378"/>
    <w:rsid w:val="001A14A8"/>
    <w:rsid w:val="001A22B5"/>
    <w:rsid w:val="001A2555"/>
    <w:rsid w:val="001A2DD8"/>
    <w:rsid w:val="001B2DDB"/>
    <w:rsid w:val="001B3C08"/>
    <w:rsid w:val="001B472D"/>
    <w:rsid w:val="001B48D9"/>
    <w:rsid w:val="001B4A1D"/>
    <w:rsid w:val="001B5E4E"/>
    <w:rsid w:val="001B6D46"/>
    <w:rsid w:val="001B6E90"/>
    <w:rsid w:val="001C06D9"/>
    <w:rsid w:val="001C18B5"/>
    <w:rsid w:val="001C4A22"/>
    <w:rsid w:val="001C4E49"/>
    <w:rsid w:val="001C5B7A"/>
    <w:rsid w:val="001C6047"/>
    <w:rsid w:val="001C6487"/>
    <w:rsid w:val="001C7128"/>
    <w:rsid w:val="001D0A21"/>
    <w:rsid w:val="001D0CCC"/>
    <w:rsid w:val="001D1FCF"/>
    <w:rsid w:val="001D228D"/>
    <w:rsid w:val="001D29BD"/>
    <w:rsid w:val="001D2C90"/>
    <w:rsid w:val="001D3956"/>
    <w:rsid w:val="001D3D2B"/>
    <w:rsid w:val="001D4BFE"/>
    <w:rsid w:val="001D58E2"/>
    <w:rsid w:val="001D5942"/>
    <w:rsid w:val="001D6C26"/>
    <w:rsid w:val="001D73B9"/>
    <w:rsid w:val="001D7D2A"/>
    <w:rsid w:val="001E01CD"/>
    <w:rsid w:val="001E0531"/>
    <w:rsid w:val="001E0C37"/>
    <w:rsid w:val="001E0FAC"/>
    <w:rsid w:val="001E0FE4"/>
    <w:rsid w:val="001E1100"/>
    <w:rsid w:val="001E66FC"/>
    <w:rsid w:val="001E6A66"/>
    <w:rsid w:val="001F1001"/>
    <w:rsid w:val="001F29FC"/>
    <w:rsid w:val="001F4EB6"/>
    <w:rsid w:val="001F7AA7"/>
    <w:rsid w:val="0020083A"/>
    <w:rsid w:val="0020157D"/>
    <w:rsid w:val="00201C13"/>
    <w:rsid w:val="002023F2"/>
    <w:rsid w:val="00203595"/>
    <w:rsid w:val="00205CC1"/>
    <w:rsid w:val="00207660"/>
    <w:rsid w:val="00207E47"/>
    <w:rsid w:val="002109DA"/>
    <w:rsid w:val="00212C82"/>
    <w:rsid w:val="00212F8E"/>
    <w:rsid w:val="002134EF"/>
    <w:rsid w:val="00213952"/>
    <w:rsid w:val="00213E3C"/>
    <w:rsid w:val="00214692"/>
    <w:rsid w:val="00216EF8"/>
    <w:rsid w:val="00216F9F"/>
    <w:rsid w:val="00217BA7"/>
    <w:rsid w:val="002215BA"/>
    <w:rsid w:val="00221E83"/>
    <w:rsid w:val="0022320F"/>
    <w:rsid w:val="00223FC3"/>
    <w:rsid w:val="00224D3B"/>
    <w:rsid w:val="0022537A"/>
    <w:rsid w:val="00226E1E"/>
    <w:rsid w:val="00227586"/>
    <w:rsid w:val="002313B4"/>
    <w:rsid w:val="00231B09"/>
    <w:rsid w:val="002326CC"/>
    <w:rsid w:val="00233E42"/>
    <w:rsid w:val="002365DC"/>
    <w:rsid w:val="002373AF"/>
    <w:rsid w:val="00237488"/>
    <w:rsid w:val="00241410"/>
    <w:rsid w:val="002425BE"/>
    <w:rsid w:val="002435CA"/>
    <w:rsid w:val="00244126"/>
    <w:rsid w:val="00244604"/>
    <w:rsid w:val="002451CB"/>
    <w:rsid w:val="00245DED"/>
    <w:rsid w:val="00245E96"/>
    <w:rsid w:val="00247E52"/>
    <w:rsid w:val="0025031B"/>
    <w:rsid w:val="00252DCA"/>
    <w:rsid w:val="00253B12"/>
    <w:rsid w:val="00253E39"/>
    <w:rsid w:val="00254EFF"/>
    <w:rsid w:val="00255E36"/>
    <w:rsid w:val="00256A19"/>
    <w:rsid w:val="002573B5"/>
    <w:rsid w:val="00257539"/>
    <w:rsid w:val="00260CF5"/>
    <w:rsid w:val="00260D30"/>
    <w:rsid w:val="00261123"/>
    <w:rsid w:val="00261BC5"/>
    <w:rsid w:val="0026230A"/>
    <w:rsid w:val="00264A43"/>
    <w:rsid w:val="00264B49"/>
    <w:rsid w:val="00265897"/>
    <w:rsid w:val="00265D66"/>
    <w:rsid w:val="00267B7B"/>
    <w:rsid w:val="00271399"/>
    <w:rsid w:val="002730A5"/>
    <w:rsid w:val="00273759"/>
    <w:rsid w:val="00273D7F"/>
    <w:rsid w:val="00274E35"/>
    <w:rsid w:val="00275371"/>
    <w:rsid w:val="0027630D"/>
    <w:rsid w:val="00281485"/>
    <w:rsid w:val="00281CFF"/>
    <w:rsid w:val="0028290B"/>
    <w:rsid w:val="00282F01"/>
    <w:rsid w:val="00283A24"/>
    <w:rsid w:val="00283D64"/>
    <w:rsid w:val="00284039"/>
    <w:rsid w:val="0028417F"/>
    <w:rsid w:val="00285CBC"/>
    <w:rsid w:val="0028648D"/>
    <w:rsid w:val="00286DE0"/>
    <w:rsid w:val="00287985"/>
    <w:rsid w:val="00287988"/>
    <w:rsid w:val="00290104"/>
    <w:rsid w:val="00290B45"/>
    <w:rsid w:val="00291419"/>
    <w:rsid w:val="002928A9"/>
    <w:rsid w:val="00292F37"/>
    <w:rsid w:val="0029434C"/>
    <w:rsid w:val="00294C5B"/>
    <w:rsid w:val="00294F16"/>
    <w:rsid w:val="00296441"/>
    <w:rsid w:val="00297C05"/>
    <w:rsid w:val="002A05CB"/>
    <w:rsid w:val="002A072E"/>
    <w:rsid w:val="002A0F6E"/>
    <w:rsid w:val="002A13D6"/>
    <w:rsid w:val="002A14B8"/>
    <w:rsid w:val="002A1551"/>
    <w:rsid w:val="002A1CE8"/>
    <w:rsid w:val="002A26E0"/>
    <w:rsid w:val="002A587A"/>
    <w:rsid w:val="002A5B8F"/>
    <w:rsid w:val="002A6813"/>
    <w:rsid w:val="002A7C66"/>
    <w:rsid w:val="002B3A75"/>
    <w:rsid w:val="002B3CDF"/>
    <w:rsid w:val="002C049D"/>
    <w:rsid w:val="002C1C4C"/>
    <w:rsid w:val="002C230E"/>
    <w:rsid w:val="002C46F0"/>
    <w:rsid w:val="002C5A55"/>
    <w:rsid w:val="002D03F5"/>
    <w:rsid w:val="002D11EB"/>
    <w:rsid w:val="002D19A6"/>
    <w:rsid w:val="002D2A96"/>
    <w:rsid w:val="002D3C88"/>
    <w:rsid w:val="002D3E7A"/>
    <w:rsid w:val="002D3ED3"/>
    <w:rsid w:val="002D492E"/>
    <w:rsid w:val="002D5379"/>
    <w:rsid w:val="002D6209"/>
    <w:rsid w:val="002D7692"/>
    <w:rsid w:val="002D7A95"/>
    <w:rsid w:val="002E37A9"/>
    <w:rsid w:val="002E4EDB"/>
    <w:rsid w:val="002E56E1"/>
    <w:rsid w:val="002E5A39"/>
    <w:rsid w:val="002E6A10"/>
    <w:rsid w:val="002E7C87"/>
    <w:rsid w:val="002F0FDA"/>
    <w:rsid w:val="002F1254"/>
    <w:rsid w:val="002F27B8"/>
    <w:rsid w:val="002F32ED"/>
    <w:rsid w:val="002F43AA"/>
    <w:rsid w:val="002F6479"/>
    <w:rsid w:val="002F7426"/>
    <w:rsid w:val="0030109A"/>
    <w:rsid w:val="00302E60"/>
    <w:rsid w:val="00303F9C"/>
    <w:rsid w:val="00304160"/>
    <w:rsid w:val="00304379"/>
    <w:rsid w:val="003043D2"/>
    <w:rsid w:val="0030479F"/>
    <w:rsid w:val="00304C40"/>
    <w:rsid w:val="00304D3B"/>
    <w:rsid w:val="0030601A"/>
    <w:rsid w:val="00306134"/>
    <w:rsid w:val="00306F4E"/>
    <w:rsid w:val="003076F4"/>
    <w:rsid w:val="00307822"/>
    <w:rsid w:val="00310CA9"/>
    <w:rsid w:val="00312059"/>
    <w:rsid w:val="00313A5A"/>
    <w:rsid w:val="00315283"/>
    <w:rsid w:val="00317D20"/>
    <w:rsid w:val="00320147"/>
    <w:rsid w:val="00322A6D"/>
    <w:rsid w:val="003245FA"/>
    <w:rsid w:val="00324B3B"/>
    <w:rsid w:val="00326BE0"/>
    <w:rsid w:val="00326D97"/>
    <w:rsid w:val="00330F0B"/>
    <w:rsid w:val="00331EE2"/>
    <w:rsid w:val="003322B3"/>
    <w:rsid w:val="0033253F"/>
    <w:rsid w:val="0033605F"/>
    <w:rsid w:val="0033712F"/>
    <w:rsid w:val="0033714C"/>
    <w:rsid w:val="00340443"/>
    <w:rsid w:val="003404AB"/>
    <w:rsid w:val="00341427"/>
    <w:rsid w:val="00341C3A"/>
    <w:rsid w:val="00342730"/>
    <w:rsid w:val="00343B28"/>
    <w:rsid w:val="00345EF7"/>
    <w:rsid w:val="00350122"/>
    <w:rsid w:val="00353FC9"/>
    <w:rsid w:val="003542B3"/>
    <w:rsid w:val="00354729"/>
    <w:rsid w:val="00354ED9"/>
    <w:rsid w:val="003553CD"/>
    <w:rsid w:val="00355A74"/>
    <w:rsid w:val="00355FFF"/>
    <w:rsid w:val="0035686D"/>
    <w:rsid w:val="0035737C"/>
    <w:rsid w:val="003631FA"/>
    <w:rsid w:val="003644E9"/>
    <w:rsid w:val="00364659"/>
    <w:rsid w:val="003648AB"/>
    <w:rsid w:val="00364FA8"/>
    <w:rsid w:val="00365246"/>
    <w:rsid w:val="0037022E"/>
    <w:rsid w:val="00371535"/>
    <w:rsid w:val="0037191E"/>
    <w:rsid w:val="00371B95"/>
    <w:rsid w:val="0037264D"/>
    <w:rsid w:val="00372944"/>
    <w:rsid w:val="00373152"/>
    <w:rsid w:val="003733B1"/>
    <w:rsid w:val="00373BE0"/>
    <w:rsid w:val="00374AC6"/>
    <w:rsid w:val="003761D5"/>
    <w:rsid w:val="003778EF"/>
    <w:rsid w:val="00377E5E"/>
    <w:rsid w:val="00382044"/>
    <w:rsid w:val="00382221"/>
    <w:rsid w:val="0038325C"/>
    <w:rsid w:val="003833EF"/>
    <w:rsid w:val="00384121"/>
    <w:rsid w:val="003842A2"/>
    <w:rsid w:val="00384CA0"/>
    <w:rsid w:val="00386854"/>
    <w:rsid w:val="00387CB1"/>
    <w:rsid w:val="00390291"/>
    <w:rsid w:val="00391B51"/>
    <w:rsid w:val="00393B57"/>
    <w:rsid w:val="00393FC2"/>
    <w:rsid w:val="00394859"/>
    <w:rsid w:val="00396A6F"/>
    <w:rsid w:val="00396AC5"/>
    <w:rsid w:val="0039771E"/>
    <w:rsid w:val="003A4FFD"/>
    <w:rsid w:val="003A646B"/>
    <w:rsid w:val="003A6900"/>
    <w:rsid w:val="003B03E7"/>
    <w:rsid w:val="003B1551"/>
    <w:rsid w:val="003B155B"/>
    <w:rsid w:val="003B1923"/>
    <w:rsid w:val="003B1957"/>
    <w:rsid w:val="003B267B"/>
    <w:rsid w:val="003B3F42"/>
    <w:rsid w:val="003B40DE"/>
    <w:rsid w:val="003B6BD9"/>
    <w:rsid w:val="003B7924"/>
    <w:rsid w:val="003B7C2E"/>
    <w:rsid w:val="003C32F0"/>
    <w:rsid w:val="003C54EF"/>
    <w:rsid w:val="003C6327"/>
    <w:rsid w:val="003C66BB"/>
    <w:rsid w:val="003C68B3"/>
    <w:rsid w:val="003C7DB1"/>
    <w:rsid w:val="003C7F00"/>
    <w:rsid w:val="003D153A"/>
    <w:rsid w:val="003D1F9C"/>
    <w:rsid w:val="003D36B1"/>
    <w:rsid w:val="003D63A1"/>
    <w:rsid w:val="003D6658"/>
    <w:rsid w:val="003E136A"/>
    <w:rsid w:val="003E2808"/>
    <w:rsid w:val="003E3035"/>
    <w:rsid w:val="003E3F2B"/>
    <w:rsid w:val="003E4699"/>
    <w:rsid w:val="003E4A1A"/>
    <w:rsid w:val="003E5932"/>
    <w:rsid w:val="003E60B5"/>
    <w:rsid w:val="003E62A7"/>
    <w:rsid w:val="003E6732"/>
    <w:rsid w:val="003E6AF6"/>
    <w:rsid w:val="003E6BE7"/>
    <w:rsid w:val="003E79B3"/>
    <w:rsid w:val="003E7D72"/>
    <w:rsid w:val="003F2282"/>
    <w:rsid w:val="003F22BA"/>
    <w:rsid w:val="003F2814"/>
    <w:rsid w:val="003F297E"/>
    <w:rsid w:val="003F3D69"/>
    <w:rsid w:val="003F5DCD"/>
    <w:rsid w:val="003F6513"/>
    <w:rsid w:val="003F7EA1"/>
    <w:rsid w:val="00400C9F"/>
    <w:rsid w:val="00400FE5"/>
    <w:rsid w:val="004017D9"/>
    <w:rsid w:val="004023E3"/>
    <w:rsid w:val="004025DE"/>
    <w:rsid w:val="00403C89"/>
    <w:rsid w:val="00404585"/>
    <w:rsid w:val="00404A13"/>
    <w:rsid w:val="004060A9"/>
    <w:rsid w:val="00406B3B"/>
    <w:rsid w:val="004071D6"/>
    <w:rsid w:val="00407759"/>
    <w:rsid w:val="00410EDF"/>
    <w:rsid w:val="004114DA"/>
    <w:rsid w:val="00412A32"/>
    <w:rsid w:val="00413053"/>
    <w:rsid w:val="0041705C"/>
    <w:rsid w:val="00417148"/>
    <w:rsid w:val="00423965"/>
    <w:rsid w:val="00423E78"/>
    <w:rsid w:val="00426F58"/>
    <w:rsid w:val="00426FBD"/>
    <w:rsid w:val="00427ABF"/>
    <w:rsid w:val="00427CAF"/>
    <w:rsid w:val="00427F2F"/>
    <w:rsid w:val="004326AA"/>
    <w:rsid w:val="0043284C"/>
    <w:rsid w:val="00432A1B"/>
    <w:rsid w:val="00433598"/>
    <w:rsid w:val="0043363A"/>
    <w:rsid w:val="004337E7"/>
    <w:rsid w:val="0043406F"/>
    <w:rsid w:val="0043443A"/>
    <w:rsid w:val="00434745"/>
    <w:rsid w:val="00434B94"/>
    <w:rsid w:val="0043516E"/>
    <w:rsid w:val="00435482"/>
    <w:rsid w:val="0043669F"/>
    <w:rsid w:val="00436EE4"/>
    <w:rsid w:val="00437439"/>
    <w:rsid w:val="00437689"/>
    <w:rsid w:val="00437835"/>
    <w:rsid w:val="004421B5"/>
    <w:rsid w:val="00442DE0"/>
    <w:rsid w:val="00443694"/>
    <w:rsid w:val="0044414B"/>
    <w:rsid w:val="00444F3B"/>
    <w:rsid w:val="00444FF8"/>
    <w:rsid w:val="00445680"/>
    <w:rsid w:val="004463B4"/>
    <w:rsid w:val="004467C8"/>
    <w:rsid w:val="00446D75"/>
    <w:rsid w:val="00446DE0"/>
    <w:rsid w:val="004476CF"/>
    <w:rsid w:val="00452B0C"/>
    <w:rsid w:val="0045356A"/>
    <w:rsid w:val="00455366"/>
    <w:rsid w:val="00455C44"/>
    <w:rsid w:val="00457C77"/>
    <w:rsid w:val="00461F8E"/>
    <w:rsid w:val="004623D0"/>
    <w:rsid w:val="00462918"/>
    <w:rsid w:val="004634E7"/>
    <w:rsid w:val="00464A17"/>
    <w:rsid w:val="00467D7D"/>
    <w:rsid w:val="00467DF9"/>
    <w:rsid w:val="00470073"/>
    <w:rsid w:val="00470488"/>
    <w:rsid w:val="004706CE"/>
    <w:rsid w:val="00470D7A"/>
    <w:rsid w:val="00472361"/>
    <w:rsid w:val="00472F71"/>
    <w:rsid w:val="00474122"/>
    <w:rsid w:val="0047480D"/>
    <w:rsid w:val="00474FCE"/>
    <w:rsid w:val="004757BD"/>
    <w:rsid w:val="004763E5"/>
    <w:rsid w:val="00477B07"/>
    <w:rsid w:val="00481104"/>
    <w:rsid w:val="00482151"/>
    <w:rsid w:val="0048244D"/>
    <w:rsid w:val="00482A71"/>
    <w:rsid w:val="00483256"/>
    <w:rsid w:val="00483820"/>
    <w:rsid w:val="0048384D"/>
    <w:rsid w:val="00484A42"/>
    <w:rsid w:val="00486C3A"/>
    <w:rsid w:val="0049042D"/>
    <w:rsid w:val="004905C1"/>
    <w:rsid w:val="0049084A"/>
    <w:rsid w:val="00491336"/>
    <w:rsid w:val="0049156D"/>
    <w:rsid w:val="00492A62"/>
    <w:rsid w:val="00493118"/>
    <w:rsid w:val="00494000"/>
    <w:rsid w:val="00494140"/>
    <w:rsid w:val="00495015"/>
    <w:rsid w:val="0049510F"/>
    <w:rsid w:val="00497294"/>
    <w:rsid w:val="00497D1D"/>
    <w:rsid w:val="004A0D00"/>
    <w:rsid w:val="004A101D"/>
    <w:rsid w:val="004A1377"/>
    <w:rsid w:val="004A17B8"/>
    <w:rsid w:val="004A2DDE"/>
    <w:rsid w:val="004A3CE5"/>
    <w:rsid w:val="004A717A"/>
    <w:rsid w:val="004B00FF"/>
    <w:rsid w:val="004B0683"/>
    <w:rsid w:val="004B0BB3"/>
    <w:rsid w:val="004B1369"/>
    <w:rsid w:val="004B3197"/>
    <w:rsid w:val="004B3722"/>
    <w:rsid w:val="004B451D"/>
    <w:rsid w:val="004B71A1"/>
    <w:rsid w:val="004B747B"/>
    <w:rsid w:val="004B78F7"/>
    <w:rsid w:val="004C0CCD"/>
    <w:rsid w:val="004C2543"/>
    <w:rsid w:val="004C376D"/>
    <w:rsid w:val="004C3C46"/>
    <w:rsid w:val="004C42A3"/>
    <w:rsid w:val="004D0AD6"/>
    <w:rsid w:val="004D26A5"/>
    <w:rsid w:val="004D3C61"/>
    <w:rsid w:val="004D437F"/>
    <w:rsid w:val="004D5D65"/>
    <w:rsid w:val="004D64F5"/>
    <w:rsid w:val="004D7E97"/>
    <w:rsid w:val="004E0379"/>
    <w:rsid w:val="004E07A8"/>
    <w:rsid w:val="004E0A18"/>
    <w:rsid w:val="004E0AC4"/>
    <w:rsid w:val="004E247E"/>
    <w:rsid w:val="004E2AE6"/>
    <w:rsid w:val="004E5239"/>
    <w:rsid w:val="004E52C1"/>
    <w:rsid w:val="004E5E38"/>
    <w:rsid w:val="004E61FE"/>
    <w:rsid w:val="004E737B"/>
    <w:rsid w:val="004E7D1F"/>
    <w:rsid w:val="004F0B3C"/>
    <w:rsid w:val="004F0E09"/>
    <w:rsid w:val="004F22DA"/>
    <w:rsid w:val="004F2D2F"/>
    <w:rsid w:val="004F4D8D"/>
    <w:rsid w:val="004F7543"/>
    <w:rsid w:val="0050144E"/>
    <w:rsid w:val="00504C0B"/>
    <w:rsid w:val="00504C50"/>
    <w:rsid w:val="00504D70"/>
    <w:rsid w:val="005064FE"/>
    <w:rsid w:val="00507028"/>
    <w:rsid w:val="005078FC"/>
    <w:rsid w:val="00507AAC"/>
    <w:rsid w:val="00511406"/>
    <w:rsid w:val="005116A1"/>
    <w:rsid w:val="005125D7"/>
    <w:rsid w:val="00513024"/>
    <w:rsid w:val="005140B5"/>
    <w:rsid w:val="005145F5"/>
    <w:rsid w:val="00514C0E"/>
    <w:rsid w:val="005163AD"/>
    <w:rsid w:val="00517B84"/>
    <w:rsid w:val="00517E39"/>
    <w:rsid w:val="00517F7E"/>
    <w:rsid w:val="0052058A"/>
    <w:rsid w:val="00520F30"/>
    <w:rsid w:val="00521C18"/>
    <w:rsid w:val="0052284F"/>
    <w:rsid w:val="005232C3"/>
    <w:rsid w:val="005252C5"/>
    <w:rsid w:val="005259E3"/>
    <w:rsid w:val="00525A00"/>
    <w:rsid w:val="00525C13"/>
    <w:rsid w:val="00526DA4"/>
    <w:rsid w:val="00527D72"/>
    <w:rsid w:val="005325AE"/>
    <w:rsid w:val="00532D0A"/>
    <w:rsid w:val="00532DCA"/>
    <w:rsid w:val="00533692"/>
    <w:rsid w:val="005341EE"/>
    <w:rsid w:val="0053486D"/>
    <w:rsid w:val="00541978"/>
    <w:rsid w:val="00541F4D"/>
    <w:rsid w:val="00542E9A"/>
    <w:rsid w:val="00544383"/>
    <w:rsid w:val="005458E1"/>
    <w:rsid w:val="00545ABC"/>
    <w:rsid w:val="005460B9"/>
    <w:rsid w:val="00546AD7"/>
    <w:rsid w:val="00546B61"/>
    <w:rsid w:val="00553B46"/>
    <w:rsid w:val="00553B6B"/>
    <w:rsid w:val="005540BB"/>
    <w:rsid w:val="0056185B"/>
    <w:rsid w:val="00562151"/>
    <w:rsid w:val="005631B9"/>
    <w:rsid w:val="0056738B"/>
    <w:rsid w:val="0057218A"/>
    <w:rsid w:val="00573052"/>
    <w:rsid w:val="00574111"/>
    <w:rsid w:val="00576858"/>
    <w:rsid w:val="005769A7"/>
    <w:rsid w:val="00577F32"/>
    <w:rsid w:val="00581042"/>
    <w:rsid w:val="005818EA"/>
    <w:rsid w:val="005821A8"/>
    <w:rsid w:val="0058361F"/>
    <w:rsid w:val="0058483C"/>
    <w:rsid w:val="00584E57"/>
    <w:rsid w:val="00585826"/>
    <w:rsid w:val="005858B1"/>
    <w:rsid w:val="005860A2"/>
    <w:rsid w:val="00586821"/>
    <w:rsid w:val="005873E6"/>
    <w:rsid w:val="00587D2E"/>
    <w:rsid w:val="00592765"/>
    <w:rsid w:val="005950C8"/>
    <w:rsid w:val="00595FB0"/>
    <w:rsid w:val="00597FE5"/>
    <w:rsid w:val="005A1B90"/>
    <w:rsid w:val="005A2D06"/>
    <w:rsid w:val="005A3A35"/>
    <w:rsid w:val="005A5894"/>
    <w:rsid w:val="005A5AC3"/>
    <w:rsid w:val="005A6523"/>
    <w:rsid w:val="005A664A"/>
    <w:rsid w:val="005A6BB7"/>
    <w:rsid w:val="005B016D"/>
    <w:rsid w:val="005B0A12"/>
    <w:rsid w:val="005B0DB3"/>
    <w:rsid w:val="005B1A7C"/>
    <w:rsid w:val="005B1E13"/>
    <w:rsid w:val="005B3651"/>
    <w:rsid w:val="005B3984"/>
    <w:rsid w:val="005B4682"/>
    <w:rsid w:val="005B53AA"/>
    <w:rsid w:val="005B6CEB"/>
    <w:rsid w:val="005B6D4C"/>
    <w:rsid w:val="005B7250"/>
    <w:rsid w:val="005B7C84"/>
    <w:rsid w:val="005B7E9C"/>
    <w:rsid w:val="005B7F92"/>
    <w:rsid w:val="005C1B59"/>
    <w:rsid w:val="005C36F2"/>
    <w:rsid w:val="005C417D"/>
    <w:rsid w:val="005C4D89"/>
    <w:rsid w:val="005C507F"/>
    <w:rsid w:val="005C510E"/>
    <w:rsid w:val="005C6CA3"/>
    <w:rsid w:val="005C7ED6"/>
    <w:rsid w:val="005D09DA"/>
    <w:rsid w:val="005D1908"/>
    <w:rsid w:val="005D4EEF"/>
    <w:rsid w:val="005D56AF"/>
    <w:rsid w:val="005D56C0"/>
    <w:rsid w:val="005D6615"/>
    <w:rsid w:val="005D6971"/>
    <w:rsid w:val="005D75FD"/>
    <w:rsid w:val="005D7D0D"/>
    <w:rsid w:val="005E00D0"/>
    <w:rsid w:val="005E0B2F"/>
    <w:rsid w:val="005E143C"/>
    <w:rsid w:val="005E1DDC"/>
    <w:rsid w:val="005E3278"/>
    <w:rsid w:val="005E4118"/>
    <w:rsid w:val="005E4E9E"/>
    <w:rsid w:val="005E6A39"/>
    <w:rsid w:val="005E7042"/>
    <w:rsid w:val="005F302E"/>
    <w:rsid w:val="005F41BF"/>
    <w:rsid w:val="005F4662"/>
    <w:rsid w:val="005F49C2"/>
    <w:rsid w:val="005F5C63"/>
    <w:rsid w:val="005F6687"/>
    <w:rsid w:val="005F6C3A"/>
    <w:rsid w:val="005F7005"/>
    <w:rsid w:val="005F7FF9"/>
    <w:rsid w:val="00600652"/>
    <w:rsid w:val="00601217"/>
    <w:rsid w:val="00602928"/>
    <w:rsid w:val="00602E82"/>
    <w:rsid w:val="006040C4"/>
    <w:rsid w:val="00604535"/>
    <w:rsid w:val="00604F8C"/>
    <w:rsid w:val="00605516"/>
    <w:rsid w:val="0060573F"/>
    <w:rsid w:val="006065EA"/>
    <w:rsid w:val="00610898"/>
    <w:rsid w:val="006122ED"/>
    <w:rsid w:val="0061361E"/>
    <w:rsid w:val="00613F11"/>
    <w:rsid w:val="006141BE"/>
    <w:rsid w:val="006156D9"/>
    <w:rsid w:val="006166D5"/>
    <w:rsid w:val="00616F33"/>
    <w:rsid w:val="006174C5"/>
    <w:rsid w:val="006179B9"/>
    <w:rsid w:val="0062019D"/>
    <w:rsid w:val="00620A22"/>
    <w:rsid w:val="00621C75"/>
    <w:rsid w:val="0062362F"/>
    <w:rsid w:val="00623FCA"/>
    <w:rsid w:val="00625A3C"/>
    <w:rsid w:val="0063023D"/>
    <w:rsid w:val="0063076C"/>
    <w:rsid w:val="0063077B"/>
    <w:rsid w:val="006308B7"/>
    <w:rsid w:val="00630B9A"/>
    <w:rsid w:val="00631909"/>
    <w:rsid w:val="00631F9E"/>
    <w:rsid w:val="006329C8"/>
    <w:rsid w:val="00632C68"/>
    <w:rsid w:val="0063544C"/>
    <w:rsid w:val="00635699"/>
    <w:rsid w:val="00637CFF"/>
    <w:rsid w:val="00640874"/>
    <w:rsid w:val="00641238"/>
    <w:rsid w:val="00641D42"/>
    <w:rsid w:val="00641E6F"/>
    <w:rsid w:val="00641F26"/>
    <w:rsid w:val="006420BE"/>
    <w:rsid w:val="006423C6"/>
    <w:rsid w:val="006439A9"/>
    <w:rsid w:val="00644E78"/>
    <w:rsid w:val="00645084"/>
    <w:rsid w:val="0064661D"/>
    <w:rsid w:val="00646C60"/>
    <w:rsid w:val="00650F6F"/>
    <w:rsid w:val="00653EE9"/>
    <w:rsid w:val="0065406F"/>
    <w:rsid w:val="006541B2"/>
    <w:rsid w:val="006549A1"/>
    <w:rsid w:val="00654CD2"/>
    <w:rsid w:val="00656080"/>
    <w:rsid w:val="006568E3"/>
    <w:rsid w:val="00660522"/>
    <w:rsid w:val="006627AA"/>
    <w:rsid w:val="00663C4F"/>
    <w:rsid w:val="006645E1"/>
    <w:rsid w:val="0066482A"/>
    <w:rsid w:val="00664B73"/>
    <w:rsid w:val="00664C05"/>
    <w:rsid w:val="006659FD"/>
    <w:rsid w:val="00667047"/>
    <w:rsid w:val="00667E1D"/>
    <w:rsid w:val="006700CF"/>
    <w:rsid w:val="0067065A"/>
    <w:rsid w:val="006707BC"/>
    <w:rsid w:val="00671EDA"/>
    <w:rsid w:val="00672A1B"/>
    <w:rsid w:val="00676235"/>
    <w:rsid w:val="00676C11"/>
    <w:rsid w:val="00676F48"/>
    <w:rsid w:val="0068069A"/>
    <w:rsid w:val="00681841"/>
    <w:rsid w:val="006829A2"/>
    <w:rsid w:val="00682C66"/>
    <w:rsid w:val="0068382C"/>
    <w:rsid w:val="0068392B"/>
    <w:rsid w:val="0068394A"/>
    <w:rsid w:val="0068500A"/>
    <w:rsid w:val="00687051"/>
    <w:rsid w:val="00687793"/>
    <w:rsid w:val="0068795E"/>
    <w:rsid w:val="0069113B"/>
    <w:rsid w:val="00691F39"/>
    <w:rsid w:val="006932D8"/>
    <w:rsid w:val="006943D3"/>
    <w:rsid w:val="00695286"/>
    <w:rsid w:val="006956A4"/>
    <w:rsid w:val="006967E3"/>
    <w:rsid w:val="00696AA7"/>
    <w:rsid w:val="00697A36"/>
    <w:rsid w:val="006A174A"/>
    <w:rsid w:val="006A38E8"/>
    <w:rsid w:val="006A4180"/>
    <w:rsid w:val="006A50F4"/>
    <w:rsid w:val="006A667A"/>
    <w:rsid w:val="006A6D5D"/>
    <w:rsid w:val="006A6F05"/>
    <w:rsid w:val="006A78BE"/>
    <w:rsid w:val="006B0754"/>
    <w:rsid w:val="006B09EB"/>
    <w:rsid w:val="006B1023"/>
    <w:rsid w:val="006B1FCF"/>
    <w:rsid w:val="006B3359"/>
    <w:rsid w:val="006B5CE1"/>
    <w:rsid w:val="006B7626"/>
    <w:rsid w:val="006B7AE2"/>
    <w:rsid w:val="006C0F1C"/>
    <w:rsid w:val="006C1045"/>
    <w:rsid w:val="006C1810"/>
    <w:rsid w:val="006C19B1"/>
    <w:rsid w:val="006C1C33"/>
    <w:rsid w:val="006C1ECF"/>
    <w:rsid w:val="006C290A"/>
    <w:rsid w:val="006C2B1A"/>
    <w:rsid w:val="006C3994"/>
    <w:rsid w:val="006C45AD"/>
    <w:rsid w:val="006C4759"/>
    <w:rsid w:val="006C48C7"/>
    <w:rsid w:val="006C5DE8"/>
    <w:rsid w:val="006C6710"/>
    <w:rsid w:val="006C69C4"/>
    <w:rsid w:val="006C77EB"/>
    <w:rsid w:val="006D0668"/>
    <w:rsid w:val="006D0C77"/>
    <w:rsid w:val="006D1896"/>
    <w:rsid w:val="006D2706"/>
    <w:rsid w:val="006D2867"/>
    <w:rsid w:val="006D3960"/>
    <w:rsid w:val="006D43DC"/>
    <w:rsid w:val="006D4963"/>
    <w:rsid w:val="006D49C3"/>
    <w:rsid w:val="006D5F3D"/>
    <w:rsid w:val="006D7178"/>
    <w:rsid w:val="006E2526"/>
    <w:rsid w:val="006E2C73"/>
    <w:rsid w:val="006E3049"/>
    <w:rsid w:val="006E3066"/>
    <w:rsid w:val="006E5ACA"/>
    <w:rsid w:val="006E70FE"/>
    <w:rsid w:val="006F12C5"/>
    <w:rsid w:val="006F2636"/>
    <w:rsid w:val="006F2928"/>
    <w:rsid w:val="006F37E0"/>
    <w:rsid w:val="006F3B1E"/>
    <w:rsid w:val="006F3D0A"/>
    <w:rsid w:val="006F4C14"/>
    <w:rsid w:val="006F5806"/>
    <w:rsid w:val="006F7C7C"/>
    <w:rsid w:val="007002F1"/>
    <w:rsid w:val="0070431B"/>
    <w:rsid w:val="00704C47"/>
    <w:rsid w:val="007053E6"/>
    <w:rsid w:val="0070606F"/>
    <w:rsid w:val="007062A1"/>
    <w:rsid w:val="00710238"/>
    <w:rsid w:val="007104C1"/>
    <w:rsid w:val="00713D63"/>
    <w:rsid w:val="00714294"/>
    <w:rsid w:val="00714ACC"/>
    <w:rsid w:val="00715A19"/>
    <w:rsid w:val="00717AA5"/>
    <w:rsid w:val="007216A8"/>
    <w:rsid w:val="00721E4C"/>
    <w:rsid w:val="00721F2D"/>
    <w:rsid w:val="007226A1"/>
    <w:rsid w:val="00723422"/>
    <w:rsid w:val="0072387E"/>
    <w:rsid w:val="007241B2"/>
    <w:rsid w:val="007266E4"/>
    <w:rsid w:val="00727189"/>
    <w:rsid w:val="007278B0"/>
    <w:rsid w:val="00730E43"/>
    <w:rsid w:val="00731389"/>
    <w:rsid w:val="00731C03"/>
    <w:rsid w:val="00731DEC"/>
    <w:rsid w:val="007328F1"/>
    <w:rsid w:val="00732C74"/>
    <w:rsid w:val="00732EDD"/>
    <w:rsid w:val="00733A6F"/>
    <w:rsid w:val="00735AF9"/>
    <w:rsid w:val="00735B3C"/>
    <w:rsid w:val="0073707E"/>
    <w:rsid w:val="0073761B"/>
    <w:rsid w:val="00740581"/>
    <w:rsid w:val="007406DA"/>
    <w:rsid w:val="00740984"/>
    <w:rsid w:val="0074177C"/>
    <w:rsid w:val="00743936"/>
    <w:rsid w:val="007447EA"/>
    <w:rsid w:val="00744A79"/>
    <w:rsid w:val="00744E29"/>
    <w:rsid w:val="00745DF9"/>
    <w:rsid w:val="007509AD"/>
    <w:rsid w:val="00750BE5"/>
    <w:rsid w:val="0075125B"/>
    <w:rsid w:val="00751398"/>
    <w:rsid w:val="00753566"/>
    <w:rsid w:val="00754102"/>
    <w:rsid w:val="00755EB9"/>
    <w:rsid w:val="00755F56"/>
    <w:rsid w:val="00756164"/>
    <w:rsid w:val="0075716B"/>
    <w:rsid w:val="00757674"/>
    <w:rsid w:val="0075791E"/>
    <w:rsid w:val="0076011C"/>
    <w:rsid w:val="0076011F"/>
    <w:rsid w:val="00760457"/>
    <w:rsid w:val="007614F1"/>
    <w:rsid w:val="007621C1"/>
    <w:rsid w:val="00762A63"/>
    <w:rsid w:val="00762B9D"/>
    <w:rsid w:val="00762CC5"/>
    <w:rsid w:val="00764035"/>
    <w:rsid w:val="00764128"/>
    <w:rsid w:val="00767829"/>
    <w:rsid w:val="007707FA"/>
    <w:rsid w:val="00770C84"/>
    <w:rsid w:val="007725C5"/>
    <w:rsid w:val="00774D15"/>
    <w:rsid w:val="00775B3B"/>
    <w:rsid w:val="00780234"/>
    <w:rsid w:val="00780FE2"/>
    <w:rsid w:val="00782A91"/>
    <w:rsid w:val="00782E0F"/>
    <w:rsid w:val="00783755"/>
    <w:rsid w:val="00783F63"/>
    <w:rsid w:val="007847FA"/>
    <w:rsid w:val="00784C10"/>
    <w:rsid w:val="00784FB8"/>
    <w:rsid w:val="0079061B"/>
    <w:rsid w:val="00790655"/>
    <w:rsid w:val="00790760"/>
    <w:rsid w:val="007919A3"/>
    <w:rsid w:val="0079288A"/>
    <w:rsid w:val="00792940"/>
    <w:rsid w:val="0079300D"/>
    <w:rsid w:val="00795203"/>
    <w:rsid w:val="00795541"/>
    <w:rsid w:val="00796F9F"/>
    <w:rsid w:val="00797488"/>
    <w:rsid w:val="007975B8"/>
    <w:rsid w:val="007A03F6"/>
    <w:rsid w:val="007A09DA"/>
    <w:rsid w:val="007A0CC7"/>
    <w:rsid w:val="007A1CDC"/>
    <w:rsid w:val="007A55CC"/>
    <w:rsid w:val="007A62C7"/>
    <w:rsid w:val="007A6F21"/>
    <w:rsid w:val="007B12EB"/>
    <w:rsid w:val="007B4138"/>
    <w:rsid w:val="007B49FB"/>
    <w:rsid w:val="007B4CB9"/>
    <w:rsid w:val="007B5764"/>
    <w:rsid w:val="007C532F"/>
    <w:rsid w:val="007C61D5"/>
    <w:rsid w:val="007D061A"/>
    <w:rsid w:val="007D1D6F"/>
    <w:rsid w:val="007D238B"/>
    <w:rsid w:val="007D259B"/>
    <w:rsid w:val="007D5A9C"/>
    <w:rsid w:val="007D62FB"/>
    <w:rsid w:val="007D722E"/>
    <w:rsid w:val="007D78A6"/>
    <w:rsid w:val="007E074D"/>
    <w:rsid w:val="007E2AAE"/>
    <w:rsid w:val="007E3EF4"/>
    <w:rsid w:val="007E4103"/>
    <w:rsid w:val="007E4CE2"/>
    <w:rsid w:val="007E7CC6"/>
    <w:rsid w:val="007E7DBE"/>
    <w:rsid w:val="007F10A3"/>
    <w:rsid w:val="007F166B"/>
    <w:rsid w:val="007F46F8"/>
    <w:rsid w:val="007F5381"/>
    <w:rsid w:val="007F5775"/>
    <w:rsid w:val="007F580A"/>
    <w:rsid w:val="007F5F32"/>
    <w:rsid w:val="007F6419"/>
    <w:rsid w:val="00801840"/>
    <w:rsid w:val="008019E3"/>
    <w:rsid w:val="00801D8D"/>
    <w:rsid w:val="00801E69"/>
    <w:rsid w:val="0080275C"/>
    <w:rsid w:val="00802C47"/>
    <w:rsid w:val="00804868"/>
    <w:rsid w:val="00807D27"/>
    <w:rsid w:val="00810767"/>
    <w:rsid w:val="00810EF5"/>
    <w:rsid w:val="008119FB"/>
    <w:rsid w:val="00811F61"/>
    <w:rsid w:val="008120C6"/>
    <w:rsid w:val="00812426"/>
    <w:rsid w:val="00812BDD"/>
    <w:rsid w:val="00813432"/>
    <w:rsid w:val="0081532D"/>
    <w:rsid w:val="008161F2"/>
    <w:rsid w:val="0081687C"/>
    <w:rsid w:val="008176D7"/>
    <w:rsid w:val="00817A60"/>
    <w:rsid w:val="008204D5"/>
    <w:rsid w:val="00822EB7"/>
    <w:rsid w:val="00823E3A"/>
    <w:rsid w:val="00826EDC"/>
    <w:rsid w:val="00830D18"/>
    <w:rsid w:val="00831407"/>
    <w:rsid w:val="00831444"/>
    <w:rsid w:val="008361F5"/>
    <w:rsid w:val="008364ED"/>
    <w:rsid w:val="0083683F"/>
    <w:rsid w:val="00836D89"/>
    <w:rsid w:val="00837656"/>
    <w:rsid w:val="00840649"/>
    <w:rsid w:val="00840679"/>
    <w:rsid w:val="008408CF"/>
    <w:rsid w:val="00841445"/>
    <w:rsid w:val="00842B36"/>
    <w:rsid w:val="008446F7"/>
    <w:rsid w:val="008459C1"/>
    <w:rsid w:val="00846789"/>
    <w:rsid w:val="008479A4"/>
    <w:rsid w:val="00850093"/>
    <w:rsid w:val="008513B0"/>
    <w:rsid w:val="00851642"/>
    <w:rsid w:val="00851725"/>
    <w:rsid w:val="00852399"/>
    <w:rsid w:val="008524D3"/>
    <w:rsid w:val="00853684"/>
    <w:rsid w:val="00853C1F"/>
    <w:rsid w:val="0085403C"/>
    <w:rsid w:val="0085497C"/>
    <w:rsid w:val="008554E2"/>
    <w:rsid w:val="00855749"/>
    <w:rsid w:val="0085583C"/>
    <w:rsid w:val="008570B3"/>
    <w:rsid w:val="00857209"/>
    <w:rsid w:val="008605B6"/>
    <w:rsid w:val="008605CD"/>
    <w:rsid w:val="00860EE5"/>
    <w:rsid w:val="00860F19"/>
    <w:rsid w:val="00860F20"/>
    <w:rsid w:val="00861155"/>
    <w:rsid w:val="0086138E"/>
    <w:rsid w:val="008617DB"/>
    <w:rsid w:val="00861939"/>
    <w:rsid w:val="008637B2"/>
    <w:rsid w:val="00864189"/>
    <w:rsid w:val="008641EE"/>
    <w:rsid w:val="008646A7"/>
    <w:rsid w:val="00865E62"/>
    <w:rsid w:val="0086611D"/>
    <w:rsid w:val="00867385"/>
    <w:rsid w:val="0087271E"/>
    <w:rsid w:val="00873360"/>
    <w:rsid w:val="00875328"/>
    <w:rsid w:val="00877299"/>
    <w:rsid w:val="008819BB"/>
    <w:rsid w:val="00881A0C"/>
    <w:rsid w:val="0088421F"/>
    <w:rsid w:val="008857D9"/>
    <w:rsid w:val="00885D6F"/>
    <w:rsid w:val="008867F2"/>
    <w:rsid w:val="00894825"/>
    <w:rsid w:val="00894A57"/>
    <w:rsid w:val="00894A65"/>
    <w:rsid w:val="00894DA4"/>
    <w:rsid w:val="00895D7F"/>
    <w:rsid w:val="00897419"/>
    <w:rsid w:val="008A3CAD"/>
    <w:rsid w:val="008A4EF6"/>
    <w:rsid w:val="008A4F2B"/>
    <w:rsid w:val="008A52BE"/>
    <w:rsid w:val="008A58BE"/>
    <w:rsid w:val="008A7B35"/>
    <w:rsid w:val="008B0301"/>
    <w:rsid w:val="008B0653"/>
    <w:rsid w:val="008B0833"/>
    <w:rsid w:val="008B1E39"/>
    <w:rsid w:val="008B29C5"/>
    <w:rsid w:val="008B2D9F"/>
    <w:rsid w:val="008B4189"/>
    <w:rsid w:val="008B44D3"/>
    <w:rsid w:val="008B5522"/>
    <w:rsid w:val="008B5E6D"/>
    <w:rsid w:val="008C081F"/>
    <w:rsid w:val="008C2462"/>
    <w:rsid w:val="008C25ED"/>
    <w:rsid w:val="008C55A0"/>
    <w:rsid w:val="008D004D"/>
    <w:rsid w:val="008D062B"/>
    <w:rsid w:val="008D1CD5"/>
    <w:rsid w:val="008D2390"/>
    <w:rsid w:val="008D336A"/>
    <w:rsid w:val="008D4443"/>
    <w:rsid w:val="008E0210"/>
    <w:rsid w:val="008E0FD7"/>
    <w:rsid w:val="008E166C"/>
    <w:rsid w:val="008E1C35"/>
    <w:rsid w:val="008E20B6"/>
    <w:rsid w:val="008E2252"/>
    <w:rsid w:val="008E49B0"/>
    <w:rsid w:val="008E599D"/>
    <w:rsid w:val="008E68A2"/>
    <w:rsid w:val="008E73D7"/>
    <w:rsid w:val="008F2E19"/>
    <w:rsid w:val="008F457C"/>
    <w:rsid w:val="008F4723"/>
    <w:rsid w:val="008F7275"/>
    <w:rsid w:val="009017EF"/>
    <w:rsid w:val="00901851"/>
    <w:rsid w:val="009022AF"/>
    <w:rsid w:val="00902BF1"/>
    <w:rsid w:val="00902C63"/>
    <w:rsid w:val="00904852"/>
    <w:rsid w:val="00904C1F"/>
    <w:rsid w:val="00906A8F"/>
    <w:rsid w:val="00907032"/>
    <w:rsid w:val="00907E3B"/>
    <w:rsid w:val="00910C11"/>
    <w:rsid w:val="00911603"/>
    <w:rsid w:val="0091304D"/>
    <w:rsid w:val="009130BD"/>
    <w:rsid w:val="00913973"/>
    <w:rsid w:val="009151A7"/>
    <w:rsid w:val="00916812"/>
    <w:rsid w:val="009168A9"/>
    <w:rsid w:val="0091750E"/>
    <w:rsid w:val="009175B7"/>
    <w:rsid w:val="00917F77"/>
    <w:rsid w:val="00920E71"/>
    <w:rsid w:val="00922171"/>
    <w:rsid w:val="00923515"/>
    <w:rsid w:val="00924078"/>
    <w:rsid w:val="00926424"/>
    <w:rsid w:val="00926CD9"/>
    <w:rsid w:val="00926E50"/>
    <w:rsid w:val="00927ABF"/>
    <w:rsid w:val="00927BBB"/>
    <w:rsid w:val="00930825"/>
    <w:rsid w:val="009318D7"/>
    <w:rsid w:val="00931D4E"/>
    <w:rsid w:val="0093232B"/>
    <w:rsid w:val="00932F4E"/>
    <w:rsid w:val="00934305"/>
    <w:rsid w:val="00935886"/>
    <w:rsid w:val="00940F6A"/>
    <w:rsid w:val="00944628"/>
    <w:rsid w:val="00944DA8"/>
    <w:rsid w:val="0094593D"/>
    <w:rsid w:val="00945D54"/>
    <w:rsid w:val="00945EBB"/>
    <w:rsid w:val="00946276"/>
    <w:rsid w:val="009468D4"/>
    <w:rsid w:val="00947D38"/>
    <w:rsid w:val="0095028B"/>
    <w:rsid w:val="009510A9"/>
    <w:rsid w:val="00952530"/>
    <w:rsid w:val="009536C8"/>
    <w:rsid w:val="00953DC1"/>
    <w:rsid w:val="009557AD"/>
    <w:rsid w:val="00956230"/>
    <w:rsid w:val="0095725F"/>
    <w:rsid w:val="00960D55"/>
    <w:rsid w:val="009611F7"/>
    <w:rsid w:val="009613E6"/>
    <w:rsid w:val="00965B3E"/>
    <w:rsid w:val="00966151"/>
    <w:rsid w:val="0096636D"/>
    <w:rsid w:val="00966B2C"/>
    <w:rsid w:val="00967105"/>
    <w:rsid w:val="0096720E"/>
    <w:rsid w:val="009672AF"/>
    <w:rsid w:val="00967EB1"/>
    <w:rsid w:val="00970336"/>
    <w:rsid w:val="009721AA"/>
    <w:rsid w:val="0097493A"/>
    <w:rsid w:val="0097623D"/>
    <w:rsid w:val="00976FBE"/>
    <w:rsid w:val="00977935"/>
    <w:rsid w:val="00977CA4"/>
    <w:rsid w:val="00980C54"/>
    <w:rsid w:val="00980F77"/>
    <w:rsid w:val="00981B2D"/>
    <w:rsid w:val="00984411"/>
    <w:rsid w:val="0098471F"/>
    <w:rsid w:val="009861CE"/>
    <w:rsid w:val="0098731A"/>
    <w:rsid w:val="00992012"/>
    <w:rsid w:val="0099302A"/>
    <w:rsid w:val="0099378C"/>
    <w:rsid w:val="009943F9"/>
    <w:rsid w:val="00996574"/>
    <w:rsid w:val="00996756"/>
    <w:rsid w:val="00996C79"/>
    <w:rsid w:val="00997449"/>
    <w:rsid w:val="00997453"/>
    <w:rsid w:val="00997679"/>
    <w:rsid w:val="009A0ED0"/>
    <w:rsid w:val="009A177E"/>
    <w:rsid w:val="009A1954"/>
    <w:rsid w:val="009A1F4D"/>
    <w:rsid w:val="009A2EF8"/>
    <w:rsid w:val="009A35C9"/>
    <w:rsid w:val="009A367E"/>
    <w:rsid w:val="009A3885"/>
    <w:rsid w:val="009A4A16"/>
    <w:rsid w:val="009A567B"/>
    <w:rsid w:val="009A6712"/>
    <w:rsid w:val="009A7431"/>
    <w:rsid w:val="009A7513"/>
    <w:rsid w:val="009A7568"/>
    <w:rsid w:val="009B0D88"/>
    <w:rsid w:val="009B161C"/>
    <w:rsid w:val="009B1E76"/>
    <w:rsid w:val="009B2E5D"/>
    <w:rsid w:val="009B3598"/>
    <w:rsid w:val="009B3BA1"/>
    <w:rsid w:val="009B4BEE"/>
    <w:rsid w:val="009B4F92"/>
    <w:rsid w:val="009B6468"/>
    <w:rsid w:val="009B7631"/>
    <w:rsid w:val="009C0295"/>
    <w:rsid w:val="009C11EE"/>
    <w:rsid w:val="009C2051"/>
    <w:rsid w:val="009C2FFE"/>
    <w:rsid w:val="009C3D6F"/>
    <w:rsid w:val="009C4786"/>
    <w:rsid w:val="009C75EA"/>
    <w:rsid w:val="009C7CAA"/>
    <w:rsid w:val="009D0127"/>
    <w:rsid w:val="009D05FA"/>
    <w:rsid w:val="009D0878"/>
    <w:rsid w:val="009D45E5"/>
    <w:rsid w:val="009D5CBD"/>
    <w:rsid w:val="009D6129"/>
    <w:rsid w:val="009D6262"/>
    <w:rsid w:val="009D7388"/>
    <w:rsid w:val="009D79C9"/>
    <w:rsid w:val="009D7D5D"/>
    <w:rsid w:val="009E07DF"/>
    <w:rsid w:val="009E23FD"/>
    <w:rsid w:val="009E425F"/>
    <w:rsid w:val="009E701D"/>
    <w:rsid w:val="009F00AE"/>
    <w:rsid w:val="009F12B4"/>
    <w:rsid w:val="009F15D0"/>
    <w:rsid w:val="009F1CEB"/>
    <w:rsid w:val="009F254F"/>
    <w:rsid w:val="009F37FA"/>
    <w:rsid w:val="009F575D"/>
    <w:rsid w:val="009F7628"/>
    <w:rsid w:val="00A00BDF"/>
    <w:rsid w:val="00A00F1E"/>
    <w:rsid w:val="00A02AE2"/>
    <w:rsid w:val="00A03921"/>
    <w:rsid w:val="00A04848"/>
    <w:rsid w:val="00A04B04"/>
    <w:rsid w:val="00A04DE3"/>
    <w:rsid w:val="00A04F9A"/>
    <w:rsid w:val="00A05B20"/>
    <w:rsid w:val="00A05EE1"/>
    <w:rsid w:val="00A06AAB"/>
    <w:rsid w:val="00A10230"/>
    <w:rsid w:val="00A11CA6"/>
    <w:rsid w:val="00A12249"/>
    <w:rsid w:val="00A13337"/>
    <w:rsid w:val="00A142C4"/>
    <w:rsid w:val="00A15C0C"/>
    <w:rsid w:val="00A16A7F"/>
    <w:rsid w:val="00A16AED"/>
    <w:rsid w:val="00A16D9D"/>
    <w:rsid w:val="00A1758B"/>
    <w:rsid w:val="00A179F7"/>
    <w:rsid w:val="00A17B6C"/>
    <w:rsid w:val="00A2016C"/>
    <w:rsid w:val="00A21228"/>
    <w:rsid w:val="00A2387B"/>
    <w:rsid w:val="00A23CC3"/>
    <w:rsid w:val="00A2626A"/>
    <w:rsid w:val="00A27005"/>
    <w:rsid w:val="00A27387"/>
    <w:rsid w:val="00A31862"/>
    <w:rsid w:val="00A31CC8"/>
    <w:rsid w:val="00A34421"/>
    <w:rsid w:val="00A348CA"/>
    <w:rsid w:val="00A35601"/>
    <w:rsid w:val="00A368C5"/>
    <w:rsid w:val="00A36D98"/>
    <w:rsid w:val="00A4093B"/>
    <w:rsid w:val="00A43110"/>
    <w:rsid w:val="00A43EE9"/>
    <w:rsid w:val="00A46004"/>
    <w:rsid w:val="00A46C93"/>
    <w:rsid w:val="00A47409"/>
    <w:rsid w:val="00A50946"/>
    <w:rsid w:val="00A51039"/>
    <w:rsid w:val="00A519F0"/>
    <w:rsid w:val="00A5208B"/>
    <w:rsid w:val="00A55402"/>
    <w:rsid w:val="00A554BB"/>
    <w:rsid w:val="00A56D79"/>
    <w:rsid w:val="00A60264"/>
    <w:rsid w:val="00A6034F"/>
    <w:rsid w:val="00A60C8E"/>
    <w:rsid w:val="00A60FF6"/>
    <w:rsid w:val="00A63007"/>
    <w:rsid w:val="00A63A9F"/>
    <w:rsid w:val="00A64177"/>
    <w:rsid w:val="00A65C4E"/>
    <w:rsid w:val="00A66C0E"/>
    <w:rsid w:val="00A67B5C"/>
    <w:rsid w:val="00A67D10"/>
    <w:rsid w:val="00A7012D"/>
    <w:rsid w:val="00A70CC9"/>
    <w:rsid w:val="00A70DEA"/>
    <w:rsid w:val="00A748E8"/>
    <w:rsid w:val="00A75F1D"/>
    <w:rsid w:val="00A7718D"/>
    <w:rsid w:val="00A771B4"/>
    <w:rsid w:val="00A7755F"/>
    <w:rsid w:val="00A776F3"/>
    <w:rsid w:val="00A806BE"/>
    <w:rsid w:val="00A80C00"/>
    <w:rsid w:val="00A823F9"/>
    <w:rsid w:val="00A82D2A"/>
    <w:rsid w:val="00A82D6E"/>
    <w:rsid w:val="00A83585"/>
    <w:rsid w:val="00A839DA"/>
    <w:rsid w:val="00A85729"/>
    <w:rsid w:val="00A8712A"/>
    <w:rsid w:val="00A9225C"/>
    <w:rsid w:val="00A93677"/>
    <w:rsid w:val="00A95E86"/>
    <w:rsid w:val="00A96288"/>
    <w:rsid w:val="00A979C6"/>
    <w:rsid w:val="00A97BBB"/>
    <w:rsid w:val="00AA0DED"/>
    <w:rsid w:val="00AA1D68"/>
    <w:rsid w:val="00AA1D7D"/>
    <w:rsid w:val="00AA281D"/>
    <w:rsid w:val="00AA2F37"/>
    <w:rsid w:val="00AA33C9"/>
    <w:rsid w:val="00AA385B"/>
    <w:rsid w:val="00AA463B"/>
    <w:rsid w:val="00AA62F7"/>
    <w:rsid w:val="00AB0024"/>
    <w:rsid w:val="00AB0740"/>
    <w:rsid w:val="00AB11A9"/>
    <w:rsid w:val="00AB1BD8"/>
    <w:rsid w:val="00AB1CD9"/>
    <w:rsid w:val="00AB275B"/>
    <w:rsid w:val="00AB3031"/>
    <w:rsid w:val="00AB310F"/>
    <w:rsid w:val="00AC0EFE"/>
    <w:rsid w:val="00AC4C03"/>
    <w:rsid w:val="00AC678E"/>
    <w:rsid w:val="00AC6AA6"/>
    <w:rsid w:val="00AC7C26"/>
    <w:rsid w:val="00AD0668"/>
    <w:rsid w:val="00AD1BB0"/>
    <w:rsid w:val="00AD26EE"/>
    <w:rsid w:val="00AD2B2D"/>
    <w:rsid w:val="00AD36FC"/>
    <w:rsid w:val="00AD44AB"/>
    <w:rsid w:val="00AD56B1"/>
    <w:rsid w:val="00AD61E9"/>
    <w:rsid w:val="00AD72A4"/>
    <w:rsid w:val="00AD79FA"/>
    <w:rsid w:val="00AE09CC"/>
    <w:rsid w:val="00AE0FC8"/>
    <w:rsid w:val="00AE1043"/>
    <w:rsid w:val="00AE1263"/>
    <w:rsid w:val="00AE1A9C"/>
    <w:rsid w:val="00AE1CA4"/>
    <w:rsid w:val="00AE1F8C"/>
    <w:rsid w:val="00AE31EE"/>
    <w:rsid w:val="00AE55D0"/>
    <w:rsid w:val="00AE6341"/>
    <w:rsid w:val="00AE6A34"/>
    <w:rsid w:val="00AE712C"/>
    <w:rsid w:val="00AF08E8"/>
    <w:rsid w:val="00AF09A0"/>
    <w:rsid w:val="00AF1077"/>
    <w:rsid w:val="00AF20DC"/>
    <w:rsid w:val="00AF32DC"/>
    <w:rsid w:val="00AF381E"/>
    <w:rsid w:val="00AF3F5F"/>
    <w:rsid w:val="00AF4710"/>
    <w:rsid w:val="00AF52C7"/>
    <w:rsid w:val="00AF61CA"/>
    <w:rsid w:val="00AF7A60"/>
    <w:rsid w:val="00B00B3F"/>
    <w:rsid w:val="00B010E9"/>
    <w:rsid w:val="00B01BEF"/>
    <w:rsid w:val="00B0204B"/>
    <w:rsid w:val="00B023F0"/>
    <w:rsid w:val="00B024A9"/>
    <w:rsid w:val="00B03E3D"/>
    <w:rsid w:val="00B04843"/>
    <w:rsid w:val="00B04A2C"/>
    <w:rsid w:val="00B04B95"/>
    <w:rsid w:val="00B050D4"/>
    <w:rsid w:val="00B065CA"/>
    <w:rsid w:val="00B07558"/>
    <w:rsid w:val="00B07DF6"/>
    <w:rsid w:val="00B10D1E"/>
    <w:rsid w:val="00B1262D"/>
    <w:rsid w:val="00B14E92"/>
    <w:rsid w:val="00B16C77"/>
    <w:rsid w:val="00B20E5F"/>
    <w:rsid w:val="00B223BE"/>
    <w:rsid w:val="00B23910"/>
    <w:rsid w:val="00B240DA"/>
    <w:rsid w:val="00B244F7"/>
    <w:rsid w:val="00B24A02"/>
    <w:rsid w:val="00B24BE5"/>
    <w:rsid w:val="00B26AE3"/>
    <w:rsid w:val="00B27CA0"/>
    <w:rsid w:val="00B27EC5"/>
    <w:rsid w:val="00B317C4"/>
    <w:rsid w:val="00B31BF4"/>
    <w:rsid w:val="00B31DC5"/>
    <w:rsid w:val="00B32A94"/>
    <w:rsid w:val="00B33D0A"/>
    <w:rsid w:val="00B356C3"/>
    <w:rsid w:val="00B3598D"/>
    <w:rsid w:val="00B35E61"/>
    <w:rsid w:val="00B372B0"/>
    <w:rsid w:val="00B37DFD"/>
    <w:rsid w:val="00B40C8F"/>
    <w:rsid w:val="00B4109F"/>
    <w:rsid w:val="00B42369"/>
    <w:rsid w:val="00B4272E"/>
    <w:rsid w:val="00B43237"/>
    <w:rsid w:val="00B432EA"/>
    <w:rsid w:val="00B4334C"/>
    <w:rsid w:val="00B441D6"/>
    <w:rsid w:val="00B45556"/>
    <w:rsid w:val="00B507D0"/>
    <w:rsid w:val="00B52345"/>
    <w:rsid w:val="00B523DB"/>
    <w:rsid w:val="00B53578"/>
    <w:rsid w:val="00B53FAB"/>
    <w:rsid w:val="00B54A0C"/>
    <w:rsid w:val="00B554AD"/>
    <w:rsid w:val="00B55E7A"/>
    <w:rsid w:val="00B56BE4"/>
    <w:rsid w:val="00B576A6"/>
    <w:rsid w:val="00B57DF1"/>
    <w:rsid w:val="00B61358"/>
    <w:rsid w:val="00B623A0"/>
    <w:rsid w:val="00B629E5"/>
    <w:rsid w:val="00B62FB6"/>
    <w:rsid w:val="00B634AC"/>
    <w:rsid w:val="00B639D8"/>
    <w:rsid w:val="00B63A8D"/>
    <w:rsid w:val="00B645FE"/>
    <w:rsid w:val="00B64964"/>
    <w:rsid w:val="00B65DCC"/>
    <w:rsid w:val="00B66DB7"/>
    <w:rsid w:val="00B66E32"/>
    <w:rsid w:val="00B71C44"/>
    <w:rsid w:val="00B727F1"/>
    <w:rsid w:val="00B73607"/>
    <w:rsid w:val="00B73D07"/>
    <w:rsid w:val="00B743C9"/>
    <w:rsid w:val="00B74714"/>
    <w:rsid w:val="00B76749"/>
    <w:rsid w:val="00B80846"/>
    <w:rsid w:val="00B81265"/>
    <w:rsid w:val="00B8200B"/>
    <w:rsid w:val="00B825A3"/>
    <w:rsid w:val="00B82963"/>
    <w:rsid w:val="00B82A14"/>
    <w:rsid w:val="00B82B23"/>
    <w:rsid w:val="00B831D4"/>
    <w:rsid w:val="00B83623"/>
    <w:rsid w:val="00B83D68"/>
    <w:rsid w:val="00B84A6E"/>
    <w:rsid w:val="00B8691E"/>
    <w:rsid w:val="00B90515"/>
    <w:rsid w:val="00B9108D"/>
    <w:rsid w:val="00B9137E"/>
    <w:rsid w:val="00B9350A"/>
    <w:rsid w:val="00B93D72"/>
    <w:rsid w:val="00B93EB3"/>
    <w:rsid w:val="00B95196"/>
    <w:rsid w:val="00B953F3"/>
    <w:rsid w:val="00B95EB6"/>
    <w:rsid w:val="00B97EB9"/>
    <w:rsid w:val="00B97FC7"/>
    <w:rsid w:val="00BA0237"/>
    <w:rsid w:val="00BA2D6F"/>
    <w:rsid w:val="00BA3D17"/>
    <w:rsid w:val="00BA4A2D"/>
    <w:rsid w:val="00BA58C2"/>
    <w:rsid w:val="00BA64E2"/>
    <w:rsid w:val="00BA6600"/>
    <w:rsid w:val="00BA68BF"/>
    <w:rsid w:val="00BA6D9E"/>
    <w:rsid w:val="00BB0589"/>
    <w:rsid w:val="00BB4356"/>
    <w:rsid w:val="00BB4C13"/>
    <w:rsid w:val="00BB4E86"/>
    <w:rsid w:val="00BB5B84"/>
    <w:rsid w:val="00BB6ACF"/>
    <w:rsid w:val="00BC135F"/>
    <w:rsid w:val="00BC2808"/>
    <w:rsid w:val="00BC2DAB"/>
    <w:rsid w:val="00BC5B09"/>
    <w:rsid w:val="00BC715E"/>
    <w:rsid w:val="00BD0368"/>
    <w:rsid w:val="00BD19E8"/>
    <w:rsid w:val="00BD2A0C"/>
    <w:rsid w:val="00BD2B2A"/>
    <w:rsid w:val="00BD2C26"/>
    <w:rsid w:val="00BE0111"/>
    <w:rsid w:val="00BE2A2F"/>
    <w:rsid w:val="00BE2EBF"/>
    <w:rsid w:val="00BE38C9"/>
    <w:rsid w:val="00BE5486"/>
    <w:rsid w:val="00BF1732"/>
    <w:rsid w:val="00BF1E19"/>
    <w:rsid w:val="00BF2E03"/>
    <w:rsid w:val="00BF39E8"/>
    <w:rsid w:val="00BF4AB7"/>
    <w:rsid w:val="00BF4BC2"/>
    <w:rsid w:val="00BF7213"/>
    <w:rsid w:val="00C001BD"/>
    <w:rsid w:val="00C003BE"/>
    <w:rsid w:val="00C03E1C"/>
    <w:rsid w:val="00C04C5F"/>
    <w:rsid w:val="00C04CBC"/>
    <w:rsid w:val="00C04E6A"/>
    <w:rsid w:val="00C05C1B"/>
    <w:rsid w:val="00C06DFE"/>
    <w:rsid w:val="00C10786"/>
    <w:rsid w:val="00C116D0"/>
    <w:rsid w:val="00C11F07"/>
    <w:rsid w:val="00C12206"/>
    <w:rsid w:val="00C1231B"/>
    <w:rsid w:val="00C12ECD"/>
    <w:rsid w:val="00C15C1D"/>
    <w:rsid w:val="00C16B81"/>
    <w:rsid w:val="00C17F6C"/>
    <w:rsid w:val="00C20EA5"/>
    <w:rsid w:val="00C213C8"/>
    <w:rsid w:val="00C21B5B"/>
    <w:rsid w:val="00C21F9A"/>
    <w:rsid w:val="00C2226D"/>
    <w:rsid w:val="00C2284E"/>
    <w:rsid w:val="00C22D68"/>
    <w:rsid w:val="00C23BB3"/>
    <w:rsid w:val="00C24E5F"/>
    <w:rsid w:val="00C24F0D"/>
    <w:rsid w:val="00C25815"/>
    <w:rsid w:val="00C25DF1"/>
    <w:rsid w:val="00C266F2"/>
    <w:rsid w:val="00C27108"/>
    <w:rsid w:val="00C27572"/>
    <w:rsid w:val="00C279A7"/>
    <w:rsid w:val="00C27CBD"/>
    <w:rsid w:val="00C27FAD"/>
    <w:rsid w:val="00C3012F"/>
    <w:rsid w:val="00C35C1D"/>
    <w:rsid w:val="00C371D3"/>
    <w:rsid w:val="00C37DF6"/>
    <w:rsid w:val="00C40227"/>
    <w:rsid w:val="00C4035E"/>
    <w:rsid w:val="00C4174B"/>
    <w:rsid w:val="00C43428"/>
    <w:rsid w:val="00C46C35"/>
    <w:rsid w:val="00C50290"/>
    <w:rsid w:val="00C52EEE"/>
    <w:rsid w:val="00C53122"/>
    <w:rsid w:val="00C537F0"/>
    <w:rsid w:val="00C53824"/>
    <w:rsid w:val="00C539DB"/>
    <w:rsid w:val="00C53FAF"/>
    <w:rsid w:val="00C545B1"/>
    <w:rsid w:val="00C55054"/>
    <w:rsid w:val="00C55C23"/>
    <w:rsid w:val="00C57972"/>
    <w:rsid w:val="00C60E9F"/>
    <w:rsid w:val="00C6114F"/>
    <w:rsid w:val="00C62A3E"/>
    <w:rsid w:val="00C6714E"/>
    <w:rsid w:val="00C67C82"/>
    <w:rsid w:val="00C72364"/>
    <w:rsid w:val="00C72A52"/>
    <w:rsid w:val="00C7441F"/>
    <w:rsid w:val="00C75207"/>
    <w:rsid w:val="00C75ECD"/>
    <w:rsid w:val="00C7647F"/>
    <w:rsid w:val="00C76638"/>
    <w:rsid w:val="00C772C4"/>
    <w:rsid w:val="00C80440"/>
    <w:rsid w:val="00C80A79"/>
    <w:rsid w:val="00C82361"/>
    <w:rsid w:val="00C838FB"/>
    <w:rsid w:val="00C8535F"/>
    <w:rsid w:val="00C8674A"/>
    <w:rsid w:val="00C908AC"/>
    <w:rsid w:val="00C90BDA"/>
    <w:rsid w:val="00C91B39"/>
    <w:rsid w:val="00C94FB5"/>
    <w:rsid w:val="00C961AC"/>
    <w:rsid w:val="00C9676E"/>
    <w:rsid w:val="00C96B59"/>
    <w:rsid w:val="00C97301"/>
    <w:rsid w:val="00CA1221"/>
    <w:rsid w:val="00CA1E20"/>
    <w:rsid w:val="00CA3B35"/>
    <w:rsid w:val="00CA4135"/>
    <w:rsid w:val="00CA476E"/>
    <w:rsid w:val="00CA605C"/>
    <w:rsid w:val="00CA7D15"/>
    <w:rsid w:val="00CB03FF"/>
    <w:rsid w:val="00CB0D63"/>
    <w:rsid w:val="00CB12E4"/>
    <w:rsid w:val="00CB3C6A"/>
    <w:rsid w:val="00CB4537"/>
    <w:rsid w:val="00CB4D30"/>
    <w:rsid w:val="00CB4D9C"/>
    <w:rsid w:val="00CB5994"/>
    <w:rsid w:val="00CB60CA"/>
    <w:rsid w:val="00CB79BE"/>
    <w:rsid w:val="00CC0464"/>
    <w:rsid w:val="00CC16DE"/>
    <w:rsid w:val="00CC24AB"/>
    <w:rsid w:val="00CC35E1"/>
    <w:rsid w:val="00CC484D"/>
    <w:rsid w:val="00CC5713"/>
    <w:rsid w:val="00CC59AE"/>
    <w:rsid w:val="00CC6D44"/>
    <w:rsid w:val="00CC766D"/>
    <w:rsid w:val="00CD02C5"/>
    <w:rsid w:val="00CD0D89"/>
    <w:rsid w:val="00CD1DC4"/>
    <w:rsid w:val="00CD45C4"/>
    <w:rsid w:val="00CD4FF2"/>
    <w:rsid w:val="00CD5ADE"/>
    <w:rsid w:val="00CE4638"/>
    <w:rsid w:val="00CE5211"/>
    <w:rsid w:val="00CE6AEE"/>
    <w:rsid w:val="00CE6CEF"/>
    <w:rsid w:val="00CF0DE0"/>
    <w:rsid w:val="00CF1EC6"/>
    <w:rsid w:val="00CF2A9E"/>
    <w:rsid w:val="00CF2F03"/>
    <w:rsid w:val="00CF3010"/>
    <w:rsid w:val="00CF4579"/>
    <w:rsid w:val="00CF514D"/>
    <w:rsid w:val="00CF6375"/>
    <w:rsid w:val="00CF7A87"/>
    <w:rsid w:val="00D0002A"/>
    <w:rsid w:val="00D00F50"/>
    <w:rsid w:val="00D0323C"/>
    <w:rsid w:val="00D0435B"/>
    <w:rsid w:val="00D0470D"/>
    <w:rsid w:val="00D05900"/>
    <w:rsid w:val="00D061D9"/>
    <w:rsid w:val="00D069F7"/>
    <w:rsid w:val="00D118A7"/>
    <w:rsid w:val="00D11BA5"/>
    <w:rsid w:val="00D11CD7"/>
    <w:rsid w:val="00D166A2"/>
    <w:rsid w:val="00D16B81"/>
    <w:rsid w:val="00D16CD4"/>
    <w:rsid w:val="00D16ED2"/>
    <w:rsid w:val="00D17912"/>
    <w:rsid w:val="00D20E22"/>
    <w:rsid w:val="00D21AED"/>
    <w:rsid w:val="00D223F1"/>
    <w:rsid w:val="00D227BC"/>
    <w:rsid w:val="00D24BD4"/>
    <w:rsid w:val="00D26FFC"/>
    <w:rsid w:val="00D304DF"/>
    <w:rsid w:val="00D3128A"/>
    <w:rsid w:val="00D31700"/>
    <w:rsid w:val="00D33E51"/>
    <w:rsid w:val="00D33EAB"/>
    <w:rsid w:val="00D34B7A"/>
    <w:rsid w:val="00D3598B"/>
    <w:rsid w:val="00D4082E"/>
    <w:rsid w:val="00D41555"/>
    <w:rsid w:val="00D41DE4"/>
    <w:rsid w:val="00D432DB"/>
    <w:rsid w:val="00D435D9"/>
    <w:rsid w:val="00D460E0"/>
    <w:rsid w:val="00D51C7E"/>
    <w:rsid w:val="00D525BD"/>
    <w:rsid w:val="00D530BF"/>
    <w:rsid w:val="00D5442B"/>
    <w:rsid w:val="00D54D44"/>
    <w:rsid w:val="00D55EE3"/>
    <w:rsid w:val="00D55F6C"/>
    <w:rsid w:val="00D56ED9"/>
    <w:rsid w:val="00D57328"/>
    <w:rsid w:val="00D577F1"/>
    <w:rsid w:val="00D6049B"/>
    <w:rsid w:val="00D60E05"/>
    <w:rsid w:val="00D63B65"/>
    <w:rsid w:val="00D63C3D"/>
    <w:rsid w:val="00D642E0"/>
    <w:rsid w:val="00D71110"/>
    <w:rsid w:val="00D71733"/>
    <w:rsid w:val="00D71781"/>
    <w:rsid w:val="00D71B7C"/>
    <w:rsid w:val="00D71D67"/>
    <w:rsid w:val="00D71DF0"/>
    <w:rsid w:val="00D7209D"/>
    <w:rsid w:val="00D72240"/>
    <w:rsid w:val="00D72B7B"/>
    <w:rsid w:val="00D72D64"/>
    <w:rsid w:val="00D733F1"/>
    <w:rsid w:val="00D75595"/>
    <w:rsid w:val="00D80F86"/>
    <w:rsid w:val="00D8474F"/>
    <w:rsid w:val="00D874BC"/>
    <w:rsid w:val="00D90707"/>
    <w:rsid w:val="00D92270"/>
    <w:rsid w:val="00D94622"/>
    <w:rsid w:val="00D94A0B"/>
    <w:rsid w:val="00D95075"/>
    <w:rsid w:val="00D96027"/>
    <w:rsid w:val="00DA1122"/>
    <w:rsid w:val="00DA1C4D"/>
    <w:rsid w:val="00DA2739"/>
    <w:rsid w:val="00DA3223"/>
    <w:rsid w:val="00DA3341"/>
    <w:rsid w:val="00DA5D6A"/>
    <w:rsid w:val="00DA6322"/>
    <w:rsid w:val="00DB412A"/>
    <w:rsid w:val="00DB429C"/>
    <w:rsid w:val="00DB4686"/>
    <w:rsid w:val="00DB63D4"/>
    <w:rsid w:val="00DB6E2C"/>
    <w:rsid w:val="00DB751B"/>
    <w:rsid w:val="00DB77DC"/>
    <w:rsid w:val="00DC0E8A"/>
    <w:rsid w:val="00DC4895"/>
    <w:rsid w:val="00DC4D44"/>
    <w:rsid w:val="00DC599C"/>
    <w:rsid w:val="00DD03C0"/>
    <w:rsid w:val="00DD2C00"/>
    <w:rsid w:val="00DD3247"/>
    <w:rsid w:val="00DD3974"/>
    <w:rsid w:val="00DD4002"/>
    <w:rsid w:val="00DD4727"/>
    <w:rsid w:val="00DD4B8D"/>
    <w:rsid w:val="00DD650C"/>
    <w:rsid w:val="00DD6C3C"/>
    <w:rsid w:val="00DD71E7"/>
    <w:rsid w:val="00DD7DFF"/>
    <w:rsid w:val="00DE0AFD"/>
    <w:rsid w:val="00DE1DA8"/>
    <w:rsid w:val="00DE2410"/>
    <w:rsid w:val="00DE2DF2"/>
    <w:rsid w:val="00DE4692"/>
    <w:rsid w:val="00DE481F"/>
    <w:rsid w:val="00DE6626"/>
    <w:rsid w:val="00DE716C"/>
    <w:rsid w:val="00DE7231"/>
    <w:rsid w:val="00DE7328"/>
    <w:rsid w:val="00DF0A7B"/>
    <w:rsid w:val="00DF0FE4"/>
    <w:rsid w:val="00DF2231"/>
    <w:rsid w:val="00DF264E"/>
    <w:rsid w:val="00DF2D93"/>
    <w:rsid w:val="00DF2E50"/>
    <w:rsid w:val="00DF3A45"/>
    <w:rsid w:val="00DF467A"/>
    <w:rsid w:val="00DF5766"/>
    <w:rsid w:val="00DF5857"/>
    <w:rsid w:val="00DF68EF"/>
    <w:rsid w:val="00DF7842"/>
    <w:rsid w:val="00E006F3"/>
    <w:rsid w:val="00E01DB2"/>
    <w:rsid w:val="00E03013"/>
    <w:rsid w:val="00E03708"/>
    <w:rsid w:val="00E0404C"/>
    <w:rsid w:val="00E045D6"/>
    <w:rsid w:val="00E04F53"/>
    <w:rsid w:val="00E054E0"/>
    <w:rsid w:val="00E0753C"/>
    <w:rsid w:val="00E07F8A"/>
    <w:rsid w:val="00E10BBD"/>
    <w:rsid w:val="00E12B08"/>
    <w:rsid w:val="00E141E8"/>
    <w:rsid w:val="00E1426E"/>
    <w:rsid w:val="00E159B7"/>
    <w:rsid w:val="00E20B25"/>
    <w:rsid w:val="00E21A4C"/>
    <w:rsid w:val="00E23C6A"/>
    <w:rsid w:val="00E24DA4"/>
    <w:rsid w:val="00E272A3"/>
    <w:rsid w:val="00E2730F"/>
    <w:rsid w:val="00E27751"/>
    <w:rsid w:val="00E30F79"/>
    <w:rsid w:val="00E318D7"/>
    <w:rsid w:val="00E32B34"/>
    <w:rsid w:val="00E33BF2"/>
    <w:rsid w:val="00E34FFA"/>
    <w:rsid w:val="00E363DF"/>
    <w:rsid w:val="00E3661F"/>
    <w:rsid w:val="00E36A72"/>
    <w:rsid w:val="00E4143D"/>
    <w:rsid w:val="00E418EE"/>
    <w:rsid w:val="00E42C40"/>
    <w:rsid w:val="00E439CA"/>
    <w:rsid w:val="00E44C57"/>
    <w:rsid w:val="00E450A6"/>
    <w:rsid w:val="00E4644A"/>
    <w:rsid w:val="00E466B1"/>
    <w:rsid w:val="00E47DB5"/>
    <w:rsid w:val="00E51099"/>
    <w:rsid w:val="00E52499"/>
    <w:rsid w:val="00E525BC"/>
    <w:rsid w:val="00E5269B"/>
    <w:rsid w:val="00E53289"/>
    <w:rsid w:val="00E535C0"/>
    <w:rsid w:val="00E5430E"/>
    <w:rsid w:val="00E54659"/>
    <w:rsid w:val="00E54CB8"/>
    <w:rsid w:val="00E55333"/>
    <w:rsid w:val="00E55829"/>
    <w:rsid w:val="00E56837"/>
    <w:rsid w:val="00E578AC"/>
    <w:rsid w:val="00E57A6A"/>
    <w:rsid w:val="00E625BD"/>
    <w:rsid w:val="00E655E7"/>
    <w:rsid w:val="00E65ADA"/>
    <w:rsid w:val="00E67E47"/>
    <w:rsid w:val="00E67F3D"/>
    <w:rsid w:val="00E7089D"/>
    <w:rsid w:val="00E70FAE"/>
    <w:rsid w:val="00E71910"/>
    <w:rsid w:val="00E71B07"/>
    <w:rsid w:val="00E72718"/>
    <w:rsid w:val="00E727C5"/>
    <w:rsid w:val="00E7486E"/>
    <w:rsid w:val="00E76BFC"/>
    <w:rsid w:val="00E80C55"/>
    <w:rsid w:val="00E819B2"/>
    <w:rsid w:val="00E82242"/>
    <w:rsid w:val="00E826D8"/>
    <w:rsid w:val="00E832A9"/>
    <w:rsid w:val="00E8333E"/>
    <w:rsid w:val="00E83647"/>
    <w:rsid w:val="00E84C8E"/>
    <w:rsid w:val="00E854FD"/>
    <w:rsid w:val="00E8593D"/>
    <w:rsid w:val="00E920C3"/>
    <w:rsid w:val="00E92466"/>
    <w:rsid w:val="00E93003"/>
    <w:rsid w:val="00E932BF"/>
    <w:rsid w:val="00E94FC5"/>
    <w:rsid w:val="00EA0C8C"/>
    <w:rsid w:val="00EA362E"/>
    <w:rsid w:val="00EA4048"/>
    <w:rsid w:val="00EA5110"/>
    <w:rsid w:val="00EA52AD"/>
    <w:rsid w:val="00EA595A"/>
    <w:rsid w:val="00EA73D9"/>
    <w:rsid w:val="00EA77E6"/>
    <w:rsid w:val="00EB030E"/>
    <w:rsid w:val="00EB11F6"/>
    <w:rsid w:val="00EB274C"/>
    <w:rsid w:val="00EB294F"/>
    <w:rsid w:val="00EB608F"/>
    <w:rsid w:val="00EB6AD4"/>
    <w:rsid w:val="00EB7C68"/>
    <w:rsid w:val="00EC0FE5"/>
    <w:rsid w:val="00EC1C64"/>
    <w:rsid w:val="00EC1F8B"/>
    <w:rsid w:val="00EC4350"/>
    <w:rsid w:val="00EC4A0A"/>
    <w:rsid w:val="00EC4D0B"/>
    <w:rsid w:val="00EC4E37"/>
    <w:rsid w:val="00EC5A73"/>
    <w:rsid w:val="00EC616A"/>
    <w:rsid w:val="00EC7362"/>
    <w:rsid w:val="00ED0AF9"/>
    <w:rsid w:val="00ED1051"/>
    <w:rsid w:val="00ED10B2"/>
    <w:rsid w:val="00ED1DF2"/>
    <w:rsid w:val="00ED25FF"/>
    <w:rsid w:val="00ED3072"/>
    <w:rsid w:val="00ED3687"/>
    <w:rsid w:val="00ED5F2A"/>
    <w:rsid w:val="00ED6276"/>
    <w:rsid w:val="00ED695B"/>
    <w:rsid w:val="00EE0210"/>
    <w:rsid w:val="00EE19C1"/>
    <w:rsid w:val="00EE239E"/>
    <w:rsid w:val="00EE263A"/>
    <w:rsid w:val="00EE396D"/>
    <w:rsid w:val="00EE3D65"/>
    <w:rsid w:val="00EE7A14"/>
    <w:rsid w:val="00EF2538"/>
    <w:rsid w:val="00EF4210"/>
    <w:rsid w:val="00EF441B"/>
    <w:rsid w:val="00EF4B66"/>
    <w:rsid w:val="00EF51BB"/>
    <w:rsid w:val="00EF52CC"/>
    <w:rsid w:val="00EF60DC"/>
    <w:rsid w:val="00EF7295"/>
    <w:rsid w:val="00EF7347"/>
    <w:rsid w:val="00F001F4"/>
    <w:rsid w:val="00F038F6"/>
    <w:rsid w:val="00F06446"/>
    <w:rsid w:val="00F0733A"/>
    <w:rsid w:val="00F10CA1"/>
    <w:rsid w:val="00F14C9E"/>
    <w:rsid w:val="00F15669"/>
    <w:rsid w:val="00F15FC3"/>
    <w:rsid w:val="00F1717D"/>
    <w:rsid w:val="00F21521"/>
    <w:rsid w:val="00F21B12"/>
    <w:rsid w:val="00F2273F"/>
    <w:rsid w:val="00F22761"/>
    <w:rsid w:val="00F25195"/>
    <w:rsid w:val="00F253CC"/>
    <w:rsid w:val="00F2739D"/>
    <w:rsid w:val="00F32474"/>
    <w:rsid w:val="00F33D31"/>
    <w:rsid w:val="00F35353"/>
    <w:rsid w:val="00F3556C"/>
    <w:rsid w:val="00F366E3"/>
    <w:rsid w:val="00F37691"/>
    <w:rsid w:val="00F426ED"/>
    <w:rsid w:val="00F42B19"/>
    <w:rsid w:val="00F437CA"/>
    <w:rsid w:val="00F43F57"/>
    <w:rsid w:val="00F44322"/>
    <w:rsid w:val="00F45399"/>
    <w:rsid w:val="00F45DAB"/>
    <w:rsid w:val="00F468AC"/>
    <w:rsid w:val="00F47AC5"/>
    <w:rsid w:val="00F510EC"/>
    <w:rsid w:val="00F51C82"/>
    <w:rsid w:val="00F5240B"/>
    <w:rsid w:val="00F537BD"/>
    <w:rsid w:val="00F53D98"/>
    <w:rsid w:val="00F54E1A"/>
    <w:rsid w:val="00F55F54"/>
    <w:rsid w:val="00F574CE"/>
    <w:rsid w:val="00F61525"/>
    <w:rsid w:val="00F636ED"/>
    <w:rsid w:val="00F65799"/>
    <w:rsid w:val="00F65D59"/>
    <w:rsid w:val="00F70BCD"/>
    <w:rsid w:val="00F719BB"/>
    <w:rsid w:val="00F72109"/>
    <w:rsid w:val="00F7390C"/>
    <w:rsid w:val="00F73E93"/>
    <w:rsid w:val="00F74561"/>
    <w:rsid w:val="00F76ADB"/>
    <w:rsid w:val="00F76C2E"/>
    <w:rsid w:val="00F77C54"/>
    <w:rsid w:val="00F807AB"/>
    <w:rsid w:val="00F80A38"/>
    <w:rsid w:val="00F80E24"/>
    <w:rsid w:val="00F80F8F"/>
    <w:rsid w:val="00F8128F"/>
    <w:rsid w:val="00F84322"/>
    <w:rsid w:val="00F86262"/>
    <w:rsid w:val="00F8737D"/>
    <w:rsid w:val="00F9074B"/>
    <w:rsid w:val="00F90A04"/>
    <w:rsid w:val="00F91EEE"/>
    <w:rsid w:val="00F9211E"/>
    <w:rsid w:val="00F93B46"/>
    <w:rsid w:val="00F95996"/>
    <w:rsid w:val="00F959FF"/>
    <w:rsid w:val="00F9656F"/>
    <w:rsid w:val="00F97239"/>
    <w:rsid w:val="00F97452"/>
    <w:rsid w:val="00FA065B"/>
    <w:rsid w:val="00FA0836"/>
    <w:rsid w:val="00FA2F94"/>
    <w:rsid w:val="00FA3BCB"/>
    <w:rsid w:val="00FA6BBB"/>
    <w:rsid w:val="00FA6DA3"/>
    <w:rsid w:val="00FA76CB"/>
    <w:rsid w:val="00FB0476"/>
    <w:rsid w:val="00FB0987"/>
    <w:rsid w:val="00FB0A9C"/>
    <w:rsid w:val="00FB10AC"/>
    <w:rsid w:val="00FB1426"/>
    <w:rsid w:val="00FB1460"/>
    <w:rsid w:val="00FB2F76"/>
    <w:rsid w:val="00FB3A3A"/>
    <w:rsid w:val="00FB3AAE"/>
    <w:rsid w:val="00FB4889"/>
    <w:rsid w:val="00FB4D6E"/>
    <w:rsid w:val="00FB6113"/>
    <w:rsid w:val="00FB61D7"/>
    <w:rsid w:val="00FB6709"/>
    <w:rsid w:val="00FC0368"/>
    <w:rsid w:val="00FC0E33"/>
    <w:rsid w:val="00FC2557"/>
    <w:rsid w:val="00FC29E7"/>
    <w:rsid w:val="00FD24E2"/>
    <w:rsid w:val="00FD41C9"/>
    <w:rsid w:val="00FD44F7"/>
    <w:rsid w:val="00FD6D00"/>
    <w:rsid w:val="00FE1927"/>
    <w:rsid w:val="00FE51F3"/>
    <w:rsid w:val="00FE5CF3"/>
    <w:rsid w:val="00FE6357"/>
    <w:rsid w:val="00FE6FE5"/>
    <w:rsid w:val="00FE7D8D"/>
    <w:rsid w:val="00FF2089"/>
    <w:rsid w:val="00FF22E0"/>
    <w:rsid w:val="00FF42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4E85F9-B754-4586-92D3-4EB4B7CF0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43F9"/>
    <w:pPr>
      <w:spacing w:after="200" w:line="276" w:lineRule="auto"/>
    </w:pPr>
  </w:style>
  <w:style w:type="paragraph" w:styleId="Heading1">
    <w:name w:val="heading 1"/>
    <w:basedOn w:val="Normal"/>
    <w:next w:val="Normal"/>
    <w:link w:val="Heading1Char"/>
    <w:uiPriority w:val="9"/>
    <w:qFormat/>
    <w:rsid w:val="009943F9"/>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17B6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4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43F9"/>
  </w:style>
  <w:style w:type="paragraph" w:styleId="Footer">
    <w:name w:val="footer"/>
    <w:basedOn w:val="Normal"/>
    <w:link w:val="FooterChar"/>
    <w:uiPriority w:val="99"/>
    <w:unhideWhenUsed/>
    <w:rsid w:val="00994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43F9"/>
  </w:style>
  <w:style w:type="paragraph" w:styleId="ListParagraph">
    <w:name w:val="List Paragraph"/>
    <w:basedOn w:val="Normal"/>
    <w:uiPriority w:val="34"/>
    <w:qFormat/>
    <w:rsid w:val="009943F9"/>
    <w:pPr>
      <w:ind w:left="720"/>
      <w:contextualSpacing/>
    </w:pPr>
  </w:style>
  <w:style w:type="table" w:styleId="TableGrid">
    <w:name w:val="Table Grid"/>
    <w:basedOn w:val="TableNormal"/>
    <w:uiPriority w:val="39"/>
    <w:rsid w:val="00994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9943F9"/>
    <w:rPr>
      <w:rFonts w:asciiTheme="majorHAnsi" w:eastAsiaTheme="majorEastAsia" w:hAnsiTheme="majorHAnsi" w:cstheme="majorBidi"/>
      <w:color w:val="2E74B5" w:themeColor="accent1" w:themeShade="BF"/>
      <w:sz w:val="32"/>
      <w:szCs w:val="32"/>
    </w:rPr>
  </w:style>
  <w:style w:type="paragraph" w:styleId="NoSpacing">
    <w:name w:val="No Spacing"/>
    <w:uiPriority w:val="1"/>
    <w:qFormat/>
    <w:rsid w:val="009943F9"/>
    <w:pPr>
      <w:spacing w:after="0" w:line="240" w:lineRule="auto"/>
    </w:pPr>
  </w:style>
  <w:style w:type="character" w:customStyle="1" w:styleId="Heading2Char">
    <w:name w:val="Heading 2 Char"/>
    <w:basedOn w:val="DefaultParagraphFont"/>
    <w:link w:val="Heading2"/>
    <w:uiPriority w:val="9"/>
    <w:rsid w:val="00A17B6C"/>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17B6C"/>
    <w:rPr>
      <w:color w:val="0563C1" w:themeColor="hyperlink"/>
      <w:u w:val="single"/>
    </w:rPr>
  </w:style>
  <w:style w:type="paragraph" w:styleId="BalloonText">
    <w:name w:val="Balloon Text"/>
    <w:basedOn w:val="Normal"/>
    <w:link w:val="BalloonTextChar"/>
    <w:uiPriority w:val="99"/>
    <w:semiHidden/>
    <w:unhideWhenUsed/>
    <w:rsid w:val="00326B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6BE0"/>
    <w:rPr>
      <w:rFonts w:ascii="Segoe UI" w:hAnsi="Segoe UI" w:cs="Segoe UI"/>
      <w:sz w:val="18"/>
      <w:szCs w:val="18"/>
    </w:rPr>
  </w:style>
  <w:style w:type="character" w:styleId="CommentReference">
    <w:name w:val="annotation reference"/>
    <w:basedOn w:val="DefaultParagraphFont"/>
    <w:uiPriority w:val="99"/>
    <w:semiHidden/>
    <w:unhideWhenUsed/>
    <w:rsid w:val="00326BE0"/>
    <w:rPr>
      <w:sz w:val="16"/>
      <w:szCs w:val="16"/>
    </w:rPr>
  </w:style>
  <w:style w:type="paragraph" w:styleId="CommentText">
    <w:name w:val="annotation text"/>
    <w:basedOn w:val="Normal"/>
    <w:link w:val="CommentTextChar"/>
    <w:uiPriority w:val="99"/>
    <w:semiHidden/>
    <w:unhideWhenUsed/>
    <w:rsid w:val="00326BE0"/>
    <w:pPr>
      <w:spacing w:line="240" w:lineRule="auto"/>
    </w:pPr>
    <w:rPr>
      <w:sz w:val="20"/>
      <w:szCs w:val="20"/>
    </w:rPr>
  </w:style>
  <w:style w:type="character" w:customStyle="1" w:styleId="CommentTextChar">
    <w:name w:val="Comment Text Char"/>
    <w:basedOn w:val="DefaultParagraphFont"/>
    <w:link w:val="CommentText"/>
    <w:uiPriority w:val="99"/>
    <w:semiHidden/>
    <w:rsid w:val="00326BE0"/>
    <w:rPr>
      <w:sz w:val="20"/>
      <w:szCs w:val="20"/>
    </w:rPr>
  </w:style>
  <w:style w:type="paragraph" w:styleId="CommentSubject">
    <w:name w:val="annotation subject"/>
    <w:basedOn w:val="CommentText"/>
    <w:next w:val="CommentText"/>
    <w:link w:val="CommentSubjectChar"/>
    <w:uiPriority w:val="99"/>
    <w:semiHidden/>
    <w:unhideWhenUsed/>
    <w:rsid w:val="00326BE0"/>
    <w:rPr>
      <w:b/>
      <w:bCs/>
    </w:rPr>
  </w:style>
  <w:style w:type="character" w:customStyle="1" w:styleId="CommentSubjectChar">
    <w:name w:val="Comment Subject Char"/>
    <w:basedOn w:val="CommentTextChar"/>
    <w:link w:val="CommentSubject"/>
    <w:uiPriority w:val="99"/>
    <w:semiHidden/>
    <w:rsid w:val="00326BE0"/>
    <w:rPr>
      <w:b/>
      <w:bCs/>
      <w:sz w:val="20"/>
      <w:szCs w:val="20"/>
    </w:rPr>
  </w:style>
  <w:style w:type="character" w:styleId="FollowedHyperlink">
    <w:name w:val="FollowedHyperlink"/>
    <w:basedOn w:val="DefaultParagraphFont"/>
    <w:uiPriority w:val="99"/>
    <w:semiHidden/>
    <w:unhideWhenUsed/>
    <w:rsid w:val="004940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561824">
      <w:bodyDiv w:val="1"/>
      <w:marLeft w:val="0"/>
      <w:marRight w:val="0"/>
      <w:marTop w:val="0"/>
      <w:marBottom w:val="0"/>
      <w:divBdr>
        <w:top w:val="none" w:sz="0" w:space="0" w:color="auto"/>
        <w:left w:val="none" w:sz="0" w:space="0" w:color="auto"/>
        <w:bottom w:val="none" w:sz="0" w:space="0" w:color="auto"/>
        <w:right w:val="none" w:sz="0" w:space="0" w:color="auto"/>
      </w:divBdr>
    </w:div>
    <w:div w:id="1033338353">
      <w:bodyDiv w:val="1"/>
      <w:marLeft w:val="0"/>
      <w:marRight w:val="0"/>
      <w:marTop w:val="0"/>
      <w:marBottom w:val="0"/>
      <w:divBdr>
        <w:top w:val="none" w:sz="0" w:space="0" w:color="auto"/>
        <w:left w:val="none" w:sz="0" w:space="0" w:color="auto"/>
        <w:bottom w:val="none" w:sz="0" w:space="0" w:color="auto"/>
        <w:right w:val="none" w:sz="0" w:space="0" w:color="auto"/>
      </w:divBdr>
    </w:div>
    <w:div w:id="1094089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xeter.ac.uk/staff/mi/education/qualityreviewpreviouslyaser/" TargetMode="External"/><Relationship Id="rId1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C6B659-EA93-4E63-8658-CF394D4C7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572</TotalTime>
  <Pages>7</Pages>
  <Words>1735</Words>
  <Characters>9893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11605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Catherine</dc:creator>
  <cp:keywords/>
  <dc:description/>
  <cp:lastModifiedBy>Farquhar, Andrew</cp:lastModifiedBy>
  <cp:revision>9</cp:revision>
  <dcterms:created xsi:type="dcterms:W3CDTF">2020-02-27T14:02:00Z</dcterms:created>
  <dcterms:modified xsi:type="dcterms:W3CDTF">2020-02-28T17:40:00Z</dcterms:modified>
</cp:coreProperties>
</file>