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D5" w:rsidRPr="00941A37" w:rsidRDefault="006C1367" w:rsidP="00941A37">
      <w:pPr>
        <w:spacing w:after="0" w:line="240" w:lineRule="auto"/>
        <w:jc w:val="center"/>
        <w:rPr>
          <w:rFonts w:ascii="Arial" w:hAnsi="Arial" w:cs="Arial"/>
          <w:b/>
          <w:color w:val="000000" w:themeColor="text1"/>
          <w:sz w:val="28"/>
          <w:szCs w:val="28"/>
        </w:rPr>
      </w:pPr>
      <w:r w:rsidRPr="00941A37">
        <w:rPr>
          <w:rFonts w:ascii="Arial" w:hAnsi="Arial" w:cs="Arial"/>
          <w:b/>
          <w:color w:val="000000" w:themeColor="text1"/>
          <w:sz w:val="28"/>
          <w:szCs w:val="28"/>
        </w:rPr>
        <w:t>MATHEMATICS FOR HUMAN FLOURISHING</w:t>
      </w:r>
    </w:p>
    <w:p w:rsidR="00941A37" w:rsidRPr="00941A37" w:rsidRDefault="00941A37" w:rsidP="00941A37">
      <w:pPr>
        <w:spacing w:after="0" w:line="240" w:lineRule="auto"/>
        <w:jc w:val="center"/>
        <w:rPr>
          <w:rFonts w:ascii="Arial" w:hAnsi="Arial" w:cs="Arial"/>
          <w:b/>
          <w:color w:val="000000" w:themeColor="text1"/>
          <w:sz w:val="28"/>
          <w:szCs w:val="28"/>
        </w:rPr>
      </w:pPr>
    </w:p>
    <w:p w:rsidR="008D11D5" w:rsidRPr="00941A37" w:rsidRDefault="008D11D5" w:rsidP="00941A37">
      <w:pPr>
        <w:spacing w:after="0" w:line="240" w:lineRule="auto"/>
        <w:jc w:val="center"/>
        <w:rPr>
          <w:rFonts w:ascii="Arial" w:hAnsi="Arial" w:cs="Arial"/>
          <w:b/>
          <w:color w:val="000000" w:themeColor="text1"/>
          <w:sz w:val="28"/>
          <w:szCs w:val="28"/>
        </w:rPr>
      </w:pPr>
      <w:r w:rsidRPr="00941A37">
        <w:rPr>
          <w:rFonts w:ascii="Arial" w:hAnsi="Arial" w:cs="Arial"/>
          <w:b/>
          <w:color w:val="000000" w:themeColor="text1"/>
          <w:sz w:val="28"/>
          <w:szCs w:val="28"/>
        </w:rPr>
        <w:t>Luke Tunstall</w:t>
      </w:r>
    </w:p>
    <w:p w:rsidR="00C65D50" w:rsidRPr="00941A37" w:rsidRDefault="008D11D5" w:rsidP="00941A37">
      <w:pPr>
        <w:spacing w:after="0" w:line="240" w:lineRule="auto"/>
        <w:jc w:val="center"/>
        <w:rPr>
          <w:rFonts w:ascii="Arial" w:hAnsi="Arial" w:cs="Arial"/>
          <w:color w:val="000000" w:themeColor="text1"/>
          <w:szCs w:val="24"/>
        </w:rPr>
      </w:pPr>
      <w:r w:rsidRPr="00941A37">
        <w:rPr>
          <w:rFonts w:ascii="Arial" w:hAnsi="Arial" w:cs="Arial"/>
          <w:color w:val="000000" w:themeColor="text1"/>
          <w:szCs w:val="24"/>
        </w:rPr>
        <w:t>Michigan State Un</w:t>
      </w:r>
      <w:r w:rsidR="00C1145F" w:rsidRPr="00941A37">
        <w:rPr>
          <w:rFonts w:ascii="Arial" w:hAnsi="Arial" w:cs="Arial"/>
          <w:color w:val="000000" w:themeColor="text1"/>
          <w:szCs w:val="24"/>
        </w:rPr>
        <w:t xml:space="preserve">iversity, </w:t>
      </w:r>
      <w:r w:rsidR="00941A37" w:rsidRPr="00941A37">
        <w:rPr>
          <w:rFonts w:ascii="Arial" w:hAnsi="Arial" w:cs="Arial"/>
          <w:color w:val="000000" w:themeColor="text1"/>
          <w:szCs w:val="24"/>
        </w:rPr>
        <w:t>USA</w:t>
      </w:r>
    </w:p>
    <w:p w:rsidR="000C6281" w:rsidRPr="00941A37" w:rsidRDefault="00941A37" w:rsidP="00941A37">
      <w:pPr>
        <w:spacing w:after="0" w:line="240" w:lineRule="auto"/>
        <w:jc w:val="center"/>
        <w:rPr>
          <w:rFonts w:ascii="Arial" w:hAnsi="Arial" w:cs="Arial"/>
          <w:color w:val="000000" w:themeColor="text1"/>
          <w:szCs w:val="24"/>
        </w:rPr>
      </w:pPr>
      <w:proofErr w:type="spellStart"/>
      <w:r w:rsidRPr="00941A37">
        <w:rPr>
          <w:rFonts w:ascii="Arial" w:hAnsi="Arial" w:cs="Arial"/>
          <w:color w:val="000000" w:themeColor="text1"/>
          <w:szCs w:val="24"/>
        </w:rPr>
        <w:t>luke.</w:t>
      </w:r>
      <w:r w:rsidRPr="00941A37">
        <w:rPr>
          <w:rFonts w:ascii="Arial" w:hAnsi="Arial" w:cs="Arial"/>
        </w:rPr>
        <w:t>tunstall</w:t>
      </w:r>
      <w:proofErr w:type="spellEnd"/>
      <w:r>
        <w:rPr>
          <w:rFonts w:ascii="Arial" w:hAnsi="Arial" w:cs="Arial"/>
        </w:rPr>
        <w:t xml:space="preserve"> </w:t>
      </w:r>
      <w:r w:rsidRPr="00941A37">
        <w:rPr>
          <w:rFonts w:ascii="Arial" w:hAnsi="Arial" w:cs="Arial"/>
          <w:color w:val="000000" w:themeColor="text1"/>
          <w:szCs w:val="24"/>
        </w:rPr>
        <w:t>@</w:t>
      </w:r>
      <w:r>
        <w:rPr>
          <w:rFonts w:ascii="Arial" w:hAnsi="Arial" w:cs="Arial"/>
          <w:color w:val="000000" w:themeColor="text1"/>
          <w:szCs w:val="24"/>
        </w:rPr>
        <w:t xml:space="preserve"> </w:t>
      </w:r>
      <w:r w:rsidRPr="00941A37">
        <w:rPr>
          <w:rFonts w:ascii="Arial" w:hAnsi="Arial" w:cs="Arial"/>
          <w:color w:val="000000" w:themeColor="text1"/>
          <w:szCs w:val="24"/>
        </w:rPr>
        <w:t>gmail.com</w:t>
      </w:r>
    </w:p>
    <w:p w:rsidR="00941A37" w:rsidRPr="00941A37" w:rsidRDefault="00941A37" w:rsidP="00941A37">
      <w:pPr>
        <w:spacing w:after="0" w:line="240" w:lineRule="auto"/>
        <w:jc w:val="center"/>
        <w:rPr>
          <w:rFonts w:ascii="Arial" w:hAnsi="Arial" w:cs="Arial"/>
          <w:color w:val="000000" w:themeColor="text1"/>
          <w:szCs w:val="24"/>
        </w:rPr>
      </w:pPr>
    </w:p>
    <w:p w:rsidR="00941A37" w:rsidRDefault="00941A37" w:rsidP="00941A37">
      <w:pPr>
        <w:spacing w:after="0" w:line="240" w:lineRule="auto"/>
        <w:jc w:val="center"/>
        <w:rPr>
          <w:szCs w:val="24"/>
        </w:rPr>
      </w:pPr>
    </w:p>
    <w:p w:rsidR="000C6281" w:rsidRPr="00941A37" w:rsidRDefault="000C6281" w:rsidP="00941A37">
      <w:pPr>
        <w:spacing w:after="0" w:line="240" w:lineRule="auto"/>
        <w:jc w:val="center"/>
        <w:rPr>
          <w:b/>
          <w:szCs w:val="24"/>
        </w:rPr>
      </w:pPr>
      <w:r w:rsidRPr="00941A37">
        <w:rPr>
          <w:b/>
          <w:szCs w:val="24"/>
        </w:rPr>
        <w:t>Abstract</w:t>
      </w:r>
    </w:p>
    <w:p w:rsidR="00686A54" w:rsidRPr="00941A37" w:rsidRDefault="000C6281" w:rsidP="00941A37">
      <w:pPr>
        <w:spacing w:after="0" w:line="240" w:lineRule="auto"/>
        <w:ind w:left="284" w:right="284"/>
        <w:jc w:val="both"/>
        <w:rPr>
          <w:szCs w:val="24"/>
        </w:rPr>
      </w:pPr>
      <w:r w:rsidRPr="00941A37">
        <w:rPr>
          <w:szCs w:val="24"/>
        </w:rPr>
        <w:t xml:space="preserve">To interrogate the place of mathematics in schools is to question the work of </w:t>
      </w:r>
      <w:r w:rsidR="003E2043" w:rsidRPr="00941A37">
        <w:rPr>
          <w:szCs w:val="24"/>
        </w:rPr>
        <w:t>humans</w:t>
      </w:r>
      <w:r w:rsidRPr="00941A37">
        <w:rPr>
          <w:szCs w:val="24"/>
        </w:rPr>
        <w:t xml:space="preserve"> for the past millennia. </w:t>
      </w:r>
      <w:r w:rsidR="00563095" w:rsidRPr="00941A37">
        <w:rPr>
          <w:szCs w:val="24"/>
        </w:rPr>
        <w:t>Nonetheless, I do so here</w:t>
      </w:r>
      <w:r w:rsidR="00F75BF5" w:rsidRPr="00941A37">
        <w:rPr>
          <w:szCs w:val="24"/>
        </w:rPr>
        <w:t>,</w:t>
      </w:r>
      <w:r w:rsidR="00563095" w:rsidRPr="00941A37">
        <w:rPr>
          <w:szCs w:val="24"/>
        </w:rPr>
        <w:t xml:space="preserve"> as an inquiry into the paradox that students spend roughly a decade in mathematics classrooms</w:t>
      </w:r>
      <w:r w:rsidR="004D2CA9" w:rsidRPr="00941A37">
        <w:rPr>
          <w:szCs w:val="24"/>
        </w:rPr>
        <w:t>,</w:t>
      </w:r>
      <w:r w:rsidR="00563095" w:rsidRPr="00941A37">
        <w:rPr>
          <w:szCs w:val="24"/>
        </w:rPr>
        <w:t xml:space="preserve"> while leaving </w:t>
      </w:r>
      <w:r w:rsidR="00263CBB" w:rsidRPr="00941A37">
        <w:rPr>
          <w:szCs w:val="24"/>
        </w:rPr>
        <w:t xml:space="preserve">formal schooling </w:t>
      </w:r>
      <w:r w:rsidR="00563095" w:rsidRPr="00941A37">
        <w:rPr>
          <w:szCs w:val="24"/>
        </w:rPr>
        <w:t>with few skills in quantitative literacy (Steen, 2001).</w:t>
      </w:r>
      <w:r w:rsidR="00F75BF5" w:rsidRPr="00941A37">
        <w:rPr>
          <w:szCs w:val="24"/>
        </w:rPr>
        <w:t xml:space="preserve"> Specifically</w:t>
      </w:r>
      <w:r w:rsidR="00563095" w:rsidRPr="00941A37">
        <w:rPr>
          <w:szCs w:val="24"/>
        </w:rPr>
        <w:t xml:space="preserve"> in this paper,</w:t>
      </w:r>
      <w:r w:rsidRPr="00941A37">
        <w:rPr>
          <w:szCs w:val="24"/>
        </w:rPr>
        <w:t xml:space="preserve"> I examine the extent to which mathematics is necessary for students’ ability to flourish upon exiting school, where </w:t>
      </w:r>
      <w:r w:rsidR="00C418EA" w:rsidRPr="00941A37">
        <w:rPr>
          <w:szCs w:val="24"/>
        </w:rPr>
        <w:t xml:space="preserve">flourishing—using Brighouse’s (2006) framework—consists of objective goods in tandem with a lifestyle </w:t>
      </w:r>
      <w:r w:rsidR="00F75BF5" w:rsidRPr="00941A37">
        <w:rPr>
          <w:szCs w:val="24"/>
        </w:rPr>
        <w:t>in accordance with one’s</w:t>
      </w:r>
      <w:r w:rsidR="00C418EA" w:rsidRPr="00941A37">
        <w:rPr>
          <w:szCs w:val="24"/>
        </w:rPr>
        <w:t xml:space="preserve"> inner desires</w:t>
      </w:r>
      <w:r w:rsidRPr="00941A37">
        <w:rPr>
          <w:szCs w:val="24"/>
        </w:rPr>
        <w:t>.</w:t>
      </w:r>
      <w:r w:rsidR="00563095" w:rsidRPr="00941A37">
        <w:rPr>
          <w:szCs w:val="24"/>
        </w:rPr>
        <w:t xml:space="preserve"> </w:t>
      </w:r>
      <w:r w:rsidR="00263CBB" w:rsidRPr="00941A37">
        <w:rPr>
          <w:szCs w:val="24"/>
        </w:rPr>
        <w:t xml:space="preserve">I situate mathematics within such a framework, questioning its role in permitting students to obtain </w:t>
      </w:r>
      <w:r w:rsidR="00F52F48" w:rsidRPr="00941A37">
        <w:rPr>
          <w:szCs w:val="24"/>
        </w:rPr>
        <w:t>objective goods</w:t>
      </w:r>
      <w:r w:rsidR="00263CBB" w:rsidRPr="00941A37">
        <w:rPr>
          <w:szCs w:val="24"/>
        </w:rPr>
        <w:t xml:space="preserve">, as well as its </w:t>
      </w:r>
      <w:r w:rsidR="00F52F48" w:rsidRPr="00941A37">
        <w:rPr>
          <w:szCs w:val="24"/>
        </w:rPr>
        <w:t>alignment with individuals’ interests.</w:t>
      </w:r>
      <w:r w:rsidR="00263CBB" w:rsidRPr="00941A37">
        <w:rPr>
          <w:szCs w:val="24"/>
        </w:rPr>
        <w:t xml:space="preserve"> </w:t>
      </w:r>
      <w:r w:rsidR="00563095" w:rsidRPr="00941A37">
        <w:rPr>
          <w:szCs w:val="24"/>
        </w:rPr>
        <w:t>The</w:t>
      </w:r>
      <w:r w:rsidR="00263CBB" w:rsidRPr="00941A37">
        <w:rPr>
          <w:szCs w:val="24"/>
        </w:rPr>
        <w:t>se</w:t>
      </w:r>
      <w:r w:rsidR="00563095" w:rsidRPr="00941A37">
        <w:rPr>
          <w:szCs w:val="24"/>
        </w:rPr>
        <w:t xml:space="preserve"> results—as one might imagine—engender serious questions for mathematics educators and policy-makers.</w:t>
      </w:r>
      <w:r w:rsidR="00956900" w:rsidRPr="00941A37">
        <w:rPr>
          <w:szCs w:val="24"/>
        </w:rPr>
        <w:t xml:space="preserve"> Indeed, as mathematics is a human creation, we are the ones who perpetuate its </w:t>
      </w:r>
      <w:r w:rsidR="00F5735D" w:rsidRPr="00941A37">
        <w:rPr>
          <w:szCs w:val="24"/>
        </w:rPr>
        <w:t>manifestation</w:t>
      </w:r>
      <w:r w:rsidR="00956900" w:rsidRPr="00941A37">
        <w:rPr>
          <w:szCs w:val="24"/>
        </w:rPr>
        <w:t xml:space="preserve"> in schools.</w:t>
      </w:r>
      <w:r w:rsidR="00263CBB" w:rsidRPr="00941A37">
        <w:rPr>
          <w:szCs w:val="24"/>
        </w:rPr>
        <w:t xml:space="preserve"> I</w:t>
      </w:r>
      <w:r w:rsidR="00956900" w:rsidRPr="00941A37">
        <w:rPr>
          <w:szCs w:val="24"/>
        </w:rPr>
        <w:t xml:space="preserve"> </w:t>
      </w:r>
      <w:r w:rsidR="00263CBB" w:rsidRPr="00941A37">
        <w:rPr>
          <w:szCs w:val="24"/>
        </w:rPr>
        <w:t>challenge readers to reflect on our ability to empower students for future flourishing</w:t>
      </w:r>
      <w:r w:rsidR="00956900" w:rsidRPr="00941A37">
        <w:rPr>
          <w:szCs w:val="24"/>
        </w:rPr>
        <w:t xml:space="preserve">, and to consider the role </w:t>
      </w:r>
      <w:r w:rsidR="0053228F" w:rsidRPr="00941A37">
        <w:rPr>
          <w:szCs w:val="24"/>
        </w:rPr>
        <w:t xml:space="preserve">that </w:t>
      </w:r>
      <w:r w:rsidR="00956900" w:rsidRPr="00941A37">
        <w:rPr>
          <w:szCs w:val="24"/>
        </w:rPr>
        <w:t>mathematics has—if any—in doing so.</w:t>
      </w:r>
    </w:p>
    <w:p w:rsidR="00C1145F" w:rsidRPr="00941A37" w:rsidRDefault="00C1145F" w:rsidP="00941A37">
      <w:pPr>
        <w:spacing w:after="0" w:line="240" w:lineRule="auto"/>
        <w:jc w:val="both"/>
        <w:rPr>
          <w:szCs w:val="24"/>
        </w:rPr>
      </w:pPr>
      <w:bookmarkStart w:id="0" w:name="_GoBack"/>
      <w:bookmarkEnd w:id="0"/>
    </w:p>
    <w:p w:rsidR="00686A54" w:rsidRPr="00941A37" w:rsidRDefault="00686A54" w:rsidP="00941A37">
      <w:pPr>
        <w:spacing w:after="0" w:line="240" w:lineRule="auto"/>
        <w:rPr>
          <w:szCs w:val="24"/>
        </w:rPr>
      </w:pPr>
    </w:p>
    <w:p w:rsidR="00AE6B0E" w:rsidRDefault="00440BA9" w:rsidP="00941A37">
      <w:pPr>
        <w:spacing w:after="0" w:line="240" w:lineRule="auto"/>
        <w:ind w:firstLine="720"/>
        <w:jc w:val="both"/>
        <w:rPr>
          <w:szCs w:val="24"/>
        </w:rPr>
      </w:pPr>
      <w:r w:rsidRPr="00941A37">
        <w:rPr>
          <w:szCs w:val="24"/>
        </w:rPr>
        <w:t>A typical child going through</w:t>
      </w:r>
      <w:r w:rsidR="00DF24E3" w:rsidRPr="00941A37">
        <w:rPr>
          <w:szCs w:val="24"/>
        </w:rPr>
        <w:t xml:space="preserve"> her or his </w:t>
      </w:r>
      <w:r w:rsidR="00293896" w:rsidRPr="00941A37">
        <w:rPr>
          <w:szCs w:val="24"/>
        </w:rPr>
        <w:t>country’s</w:t>
      </w:r>
      <w:r w:rsidR="00853783" w:rsidRPr="00941A37">
        <w:rPr>
          <w:szCs w:val="24"/>
        </w:rPr>
        <w:t xml:space="preserve"> public education system</w:t>
      </w:r>
      <w:r w:rsidRPr="00941A37">
        <w:rPr>
          <w:szCs w:val="24"/>
        </w:rPr>
        <w:t xml:space="preserve"> will take</w:t>
      </w:r>
      <w:r w:rsidR="00A57635" w:rsidRPr="00941A37">
        <w:rPr>
          <w:szCs w:val="24"/>
        </w:rPr>
        <w:t xml:space="preserve"> ten</w:t>
      </w:r>
      <w:r w:rsidRPr="00941A37">
        <w:rPr>
          <w:szCs w:val="24"/>
        </w:rPr>
        <w:t xml:space="preserve"> to twelve years of mathematics courses. </w:t>
      </w:r>
      <w:r w:rsidR="00853783" w:rsidRPr="00941A37">
        <w:rPr>
          <w:szCs w:val="24"/>
        </w:rPr>
        <w:t>In this United States,</w:t>
      </w:r>
      <w:r w:rsidRPr="00941A37">
        <w:rPr>
          <w:szCs w:val="24"/>
        </w:rPr>
        <w:t xml:space="preserve"> </w:t>
      </w:r>
      <w:r w:rsidR="00DA5E7B" w:rsidRPr="00941A37">
        <w:rPr>
          <w:szCs w:val="24"/>
        </w:rPr>
        <w:t xml:space="preserve">and at the secondary level, </w:t>
      </w:r>
      <w:r w:rsidR="00FC117F" w:rsidRPr="00941A37">
        <w:rPr>
          <w:szCs w:val="24"/>
        </w:rPr>
        <w:t>this coursework</w:t>
      </w:r>
      <w:r w:rsidRPr="00941A37">
        <w:rPr>
          <w:szCs w:val="24"/>
        </w:rPr>
        <w:t xml:space="preserve"> often include</w:t>
      </w:r>
      <w:r w:rsidR="00FC117F" w:rsidRPr="00941A37">
        <w:rPr>
          <w:szCs w:val="24"/>
        </w:rPr>
        <w:t>s</w:t>
      </w:r>
      <w:r w:rsidRPr="00941A37">
        <w:rPr>
          <w:szCs w:val="24"/>
        </w:rPr>
        <w:t xml:space="preserve"> Algebra 1, Geometry, and Algebra</w:t>
      </w:r>
      <w:r w:rsidR="00485B1D" w:rsidRPr="00941A37">
        <w:rPr>
          <w:szCs w:val="24"/>
        </w:rPr>
        <w:t xml:space="preserve"> 2 (or some permutation of the</w:t>
      </w:r>
      <w:r w:rsidRPr="00941A37">
        <w:rPr>
          <w:szCs w:val="24"/>
        </w:rPr>
        <w:t xml:space="preserve"> topics</w:t>
      </w:r>
      <w:r w:rsidR="00485B1D" w:rsidRPr="00941A37">
        <w:rPr>
          <w:szCs w:val="24"/>
        </w:rPr>
        <w:t xml:space="preserve"> therein</w:t>
      </w:r>
      <w:r w:rsidRPr="00941A37">
        <w:rPr>
          <w:szCs w:val="24"/>
        </w:rPr>
        <w:t xml:space="preserve">). What other disciplines have this privilege? Aside from English—sometimes referred to as language arts—no others permeate a students’ </w:t>
      </w:r>
      <w:r w:rsidR="00395D94" w:rsidRPr="00941A37">
        <w:rPr>
          <w:szCs w:val="24"/>
        </w:rPr>
        <w:t xml:space="preserve">schooling </w:t>
      </w:r>
      <w:r w:rsidRPr="00941A37">
        <w:rPr>
          <w:szCs w:val="24"/>
        </w:rPr>
        <w:t xml:space="preserve">experience as much as mathematics does. It is a paradox, then, that students in public schools spend </w:t>
      </w:r>
      <w:r w:rsidR="00A23EBE" w:rsidRPr="00941A37">
        <w:rPr>
          <w:szCs w:val="24"/>
        </w:rPr>
        <w:t>roughly</w:t>
      </w:r>
      <w:r w:rsidRPr="00941A37">
        <w:rPr>
          <w:szCs w:val="24"/>
        </w:rPr>
        <w:t xml:space="preserve"> </w:t>
      </w:r>
      <w:r w:rsidR="00601ADF" w:rsidRPr="00941A37">
        <w:rPr>
          <w:szCs w:val="24"/>
        </w:rPr>
        <w:t xml:space="preserve">a decade </w:t>
      </w:r>
      <w:r w:rsidRPr="00941A37">
        <w:rPr>
          <w:szCs w:val="24"/>
        </w:rPr>
        <w:t>in mathematics courses, yet leave—to a large extent—with few skills in quantitative literacy</w:t>
      </w:r>
      <w:r w:rsidR="000C5381" w:rsidRPr="00941A37">
        <w:rPr>
          <w:szCs w:val="24"/>
        </w:rPr>
        <w:t>, or the ability to interpret and use numbers as they manifest in daily life (</w:t>
      </w:r>
      <w:r w:rsidR="00AD1810" w:rsidRPr="00941A37">
        <w:rPr>
          <w:szCs w:val="24"/>
        </w:rPr>
        <w:t xml:space="preserve">Jones, 2004; </w:t>
      </w:r>
      <w:r w:rsidR="000C5381" w:rsidRPr="00941A37">
        <w:rPr>
          <w:szCs w:val="24"/>
        </w:rPr>
        <w:t>Steen, 2001</w:t>
      </w:r>
      <w:r w:rsidR="000A2527" w:rsidRPr="00941A37">
        <w:rPr>
          <w:szCs w:val="24"/>
        </w:rPr>
        <w:t>)</w:t>
      </w:r>
      <w:r w:rsidRPr="00941A37">
        <w:rPr>
          <w:szCs w:val="24"/>
        </w:rPr>
        <w:t>.</w:t>
      </w:r>
      <w:r w:rsidR="00A316BC" w:rsidRPr="00941A37">
        <w:rPr>
          <w:szCs w:val="24"/>
        </w:rPr>
        <w:t xml:space="preserve"> </w:t>
      </w:r>
      <w:r w:rsidR="00895A61" w:rsidRPr="00941A37">
        <w:rPr>
          <w:szCs w:val="24"/>
        </w:rPr>
        <w:t xml:space="preserve">Hosts of individuals have commented on this quandary, so I avoid it here. </w:t>
      </w:r>
      <w:r w:rsidR="00385FBB" w:rsidRPr="00941A37">
        <w:rPr>
          <w:szCs w:val="24"/>
        </w:rPr>
        <w:t>Instead, in this paper I use</w:t>
      </w:r>
      <w:r w:rsidR="00A316BC" w:rsidRPr="00941A37">
        <w:rPr>
          <w:szCs w:val="24"/>
        </w:rPr>
        <w:t xml:space="preserve"> Brighouse’s (</w:t>
      </w:r>
      <w:r w:rsidR="00E26F2B" w:rsidRPr="00941A37">
        <w:rPr>
          <w:szCs w:val="24"/>
        </w:rPr>
        <w:t>2006</w:t>
      </w:r>
      <w:r w:rsidR="00A316BC" w:rsidRPr="00941A37">
        <w:rPr>
          <w:szCs w:val="24"/>
        </w:rPr>
        <w:t xml:space="preserve">) conception of </w:t>
      </w:r>
      <w:r w:rsidR="007219D9" w:rsidRPr="00941A37">
        <w:rPr>
          <w:szCs w:val="24"/>
        </w:rPr>
        <w:t>flourishing</w:t>
      </w:r>
      <w:r w:rsidR="00385FBB" w:rsidRPr="00941A37">
        <w:rPr>
          <w:szCs w:val="24"/>
        </w:rPr>
        <w:t xml:space="preserve"> to</w:t>
      </w:r>
      <w:r w:rsidR="00A316BC" w:rsidRPr="00941A37">
        <w:rPr>
          <w:szCs w:val="24"/>
        </w:rPr>
        <w:t xml:space="preserve"> examine the extent to which mathematics is necessary for fostering students’ abi</w:t>
      </w:r>
      <w:r w:rsidR="00B20538" w:rsidRPr="00941A37">
        <w:rPr>
          <w:szCs w:val="24"/>
        </w:rPr>
        <w:t xml:space="preserve">lity to </w:t>
      </w:r>
      <w:r w:rsidR="00834DA5" w:rsidRPr="00941A37">
        <w:rPr>
          <w:szCs w:val="24"/>
        </w:rPr>
        <w:t xml:space="preserve">live a </w:t>
      </w:r>
      <w:r w:rsidR="00B20538" w:rsidRPr="00941A37">
        <w:rPr>
          <w:szCs w:val="24"/>
        </w:rPr>
        <w:t>flourish</w:t>
      </w:r>
      <w:r w:rsidR="00834DA5" w:rsidRPr="00941A37">
        <w:rPr>
          <w:szCs w:val="24"/>
        </w:rPr>
        <w:t>ing life</w:t>
      </w:r>
      <w:r w:rsidR="00A316BC" w:rsidRPr="00941A37">
        <w:rPr>
          <w:szCs w:val="24"/>
        </w:rPr>
        <w:t>.</w:t>
      </w:r>
      <w:r w:rsidR="00B20538" w:rsidRPr="00941A37">
        <w:rPr>
          <w:szCs w:val="24"/>
        </w:rPr>
        <w:t xml:space="preserve"> </w:t>
      </w:r>
    </w:p>
    <w:p w:rsidR="006C1367" w:rsidRPr="00941A37" w:rsidRDefault="006C1367" w:rsidP="00941A37">
      <w:pPr>
        <w:spacing w:after="0" w:line="240" w:lineRule="auto"/>
        <w:ind w:firstLine="720"/>
        <w:jc w:val="both"/>
        <w:rPr>
          <w:szCs w:val="24"/>
        </w:rPr>
      </w:pPr>
    </w:p>
    <w:p w:rsidR="006D21C2" w:rsidRDefault="009A34D7" w:rsidP="00941A37">
      <w:pPr>
        <w:spacing w:after="0" w:line="240" w:lineRule="auto"/>
        <w:ind w:firstLine="720"/>
        <w:jc w:val="both"/>
        <w:rPr>
          <w:szCs w:val="24"/>
        </w:rPr>
      </w:pPr>
      <w:r w:rsidRPr="00941A37">
        <w:rPr>
          <w:szCs w:val="24"/>
        </w:rPr>
        <w:t xml:space="preserve">This is a question of both quantity (i.e., how much </w:t>
      </w:r>
      <w:r w:rsidR="003072B9" w:rsidRPr="00941A37">
        <w:rPr>
          <w:szCs w:val="24"/>
        </w:rPr>
        <w:t>mathematics</w:t>
      </w:r>
      <w:r w:rsidR="003C7C8D" w:rsidRPr="00941A37">
        <w:rPr>
          <w:szCs w:val="24"/>
        </w:rPr>
        <w:t>?</w:t>
      </w:r>
      <w:r w:rsidRPr="00941A37">
        <w:rPr>
          <w:szCs w:val="24"/>
        </w:rPr>
        <w:t>) and quality (i.e., the nature of that included). While the latter</w:t>
      </w:r>
      <w:r w:rsidR="0013631D" w:rsidRPr="00941A37">
        <w:rPr>
          <w:szCs w:val="24"/>
        </w:rPr>
        <w:t xml:space="preserve"> question</w:t>
      </w:r>
      <w:r w:rsidRPr="00941A37">
        <w:rPr>
          <w:szCs w:val="24"/>
        </w:rPr>
        <w:t xml:space="preserve"> has been </w:t>
      </w:r>
      <w:r w:rsidR="00466B17" w:rsidRPr="00941A37">
        <w:rPr>
          <w:szCs w:val="24"/>
        </w:rPr>
        <w:t>the subject of significant debate (e.g., Schoenfeld, 2004)</w:t>
      </w:r>
      <w:r w:rsidR="0013631D" w:rsidRPr="00941A37">
        <w:rPr>
          <w:szCs w:val="24"/>
        </w:rPr>
        <w:t xml:space="preserve">, the two in tandem remain largely absent in literature. </w:t>
      </w:r>
      <w:r w:rsidR="00491652" w:rsidRPr="00941A37">
        <w:rPr>
          <w:szCs w:val="24"/>
        </w:rPr>
        <w:t>I challenge both.</w:t>
      </w:r>
      <w:r w:rsidR="00466B17" w:rsidRPr="00941A37">
        <w:rPr>
          <w:szCs w:val="24"/>
        </w:rPr>
        <w:t xml:space="preserve"> </w:t>
      </w:r>
      <w:r w:rsidR="00B20538" w:rsidRPr="00941A37">
        <w:rPr>
          <w:szCs w:val="24"/>
        </w:rPr>
        <w:t xml:space="preserve">The contrasting views </w:t>
      </w:r>
      <w:r w:rsidR="005503D5" w:rsidRPr="00941A37">
        <w:rPr>
          <w:szCs w:val="24"/>
        </w:rPr>
        <w:t>of</w:t>
      </w:r>
      <w:r w:rsidR="00B20538" w:rsidRPr="00941A37">
        <w:rPr>
          <w:szCs w:val="24"/>
        </w:rPr>
        <w:t xml:space="preserve"> Gibson (1986)</w:t>
      </w:r>
      <w:r w:rsidR="00576E0D" w:rsidRPr="00941A37">
        <w:rPr>
          <w:szCs w:val="24"/>
        </w:rPr>
        <w:t>, a proponent of including logic</w:t>
      </w:r>
      <w:r w:rsidR="00824E9C" w:rsidRPr="00941A37">
        <w:rPr>
          <w:szCs w:val="24"/>
        </w:rPr>
        <w:t xml:space="preserve"> in addition to mathematics within curricula</w:t>
      </w:r>
      <w:r w:rsidR="00576E0D" w:rsidRPr="00941A37">
        <w:rPr>
          <w:szCs w:val="24"/>
        </w:rPr>
        <w:t>,</w:t>
      </w:r>
      <w:r w:rsidR="00B20538" w:rsidRPr="00941A37">
        <w:rPr>
          <w:szCs w:val="24"/>
        </w:rPr>
        <w:t xml:space="preserve"> and Mumford (2006)</w:t>
      </w:r>
      <w:r w:rsidR="00482995" w:rsidRPr="00941A37">
        <w:rPr>
          <w:szCs w:val="24"/>
        </w:rPr>
        <w:t>, a contender of increased (though different) mathematics within schools,</w:t>
      </w:r>
      <w:r w:rsidR="00B20538" w:rsidRPr="00941A37">
        <w:rPr>
          <w:szCs w:val="24"/>
        </w:rPr>
        <w:t xml:space="preserve"> serve as sounding boards for the rich diversity of </w:t>
      </w:r>
      <w:r w:rsidR="009F72F7" w:rsidRPr="00941A37">
        <w:rPr>
          <w:szCs w:val="24"/>
        </w:rPr>
        <w:t>thought</w:t>
      </w:r>
      <w:r w:rsidR="00B20538" w:rsidRPr="00941A37">
        <w:rPr>
          <w:szCs w:val="24"/>
        </w:rPr>
        <w:t xml:space="preserve"> on the matter.</w:t>
      </w:r>
      <w:r w:rsidR="008C4C5B" w:rsidRPr="00941A37">
        <w:rPr>
          <w:szCs w:val="24"/>
        </w:rPr>
        <w:t xml:space="preserve"> I argue that the status quo public mathematics curriculum does not serve students adequately for the world they encounter upon </w:t>
      </w:r>
      <w:r w:rsidR="00C97271" w:rsidRPr="00941A37">
        <w:rPr>
          <w:szCs w:val="24"/>
        </w:rPr>
        <w:t xml:space="preserve">graduation. In fact, </w:t>
      </w:r>
      <w:r w:rsidR="00463A91" w:rsidRPr="00941A37">
        <w:rPr>
          <w:szCs w:val="24"/>
        </w:rPr>
        <w:t xml:space="preserve">more mathematics—albeit tempting to </w:t>
      </w:r>
      <w:r w:rsidR="00C65E0C" w:rsidRPr="00941A37">
        <w:rPr>
          <w:szCs w:val="24"/>
        </w:rPr>
        <w:t>favor</w:t>
      </w:r>
      <w:r w:rsidR="00463A91" w:rsidRPr="00941A37">
        <w:rPr>
          <w:szCs w:val="24"/>
        </w:rPr>
        <w:t>—</w:t>
      </w:r>
      <w:r w:rsidR="00DF3CA4" w:rsidRPr="00941A37">
        <w:rPr>
          <w:szCs w:val="24"/>
        </w:rPr>
        <w:t>will</w:t>
      </w:r>
      <w:r w:rsidR="00463A91" w:rsidRPr="00941A37">
        <w:rPr>
          <w:szCs w:val="24"/>
        </w:rPr>
        <w:t xml:space="preserve"> not foster the literacy </w:t>
      </w:r>
      <w:r w:rsidR="008F1F74" w:rsidRPr="00941A37">
        <w:rPr>
          <w:szCs w:val="24"/>
        </w:rPr>
        <w:t xml:space="preserve">that empowers </w:t>
      </w:r>
      <w:r w:rsidR="00463A91" w:rsidRPr="00941A37">
        <w:rPr>
          <w:szCs w:val="24"/>
        </w:rPr>
        <w:t>students in navigating a world of numbers</w:t>
      </w:r>
      <w:r w:rsidR="00C75E35" w:rsidRPr="00941A37">
        <w:rPr>
          <w:szCs w:val="24"/>
        </w:rPr>
        <w:t xml:space="preserve"> –</w:t>
      </w:r>
      <w:r w:rsidR="00482995" w:rsidRPr="00941A37">
        <w:rPr>
          <w:szCs w:val="24"/>
        </w:rPr>
        <w:t xml:space="preserve"> the</w:t>
      </w:r>
      <w:r w:rsidR="00C75E35" w:rsidRPr="00941A37">
        <w:rPr>
          <w:szCs w:val="24"/>
        </w:rPr>
        <w:t xml:space="preserve"> literacy that fosters flourishing</w:t>
      </w:r>
      <w:r w:rsidR="00463A91" w:rsidRPr="00941A37">
        <w:rPr>
          <w:szCs w:val="24"/>
        </w:rPr>
        <w:t xml:space="preserve">. I begin my argument innocuously by synthesizing Brighouse’s aims for education, then proceed to </w:t>
      </w:r>
      <w:r w:rsidR="00520243" w:rsidRPr="00941A37">
        <w:rPr>
          <w:szCs w:val="24"/>
        </w:rPr>
        <w:t>situate mathematics</w:t>
      </w:r>
      <w:r w:rsidR="00463A91" w:rsidRPr="00941A37">
        <w:rPr>
          <w:szCs w:val="24"/>
        </w:rPr>
        <w:t xml:space="preserve"> </w:t>
      </w:r>
      <w:r w:rsidR="00911A60" w:rsidRPr="00941A37">
        <w:rPr>
          <w:szCs w:val="24"/>
        </w:rPr>
        <w:t xml:space="preserve">teaching </w:t>
      </w:r>
      <w:r w:rsidR="00463A91" w:rsidRPr="00941A37">
        <w:rPr>
          <w:szCs w:val="24"/>
        </w:rPr>
        <w:t>within such aims</w:t>
      </w:r>
      <w:r w:rsidR="007219D9" w:rsidRPr="00941A37">
        <w:rPr>
          <w:szCs w:val="24"/>
        </w:rPr>
        <w:t>.</w:t>
      </w:r>
    </w:p>
    <w:p w:rsidR="006C1367" w:rsidRPr="00941A37" w:rsidRDefault="006C1367" w:rsidP="00941A37">
      <w:pPr>
        <w:spacing w:after="0" w:line="240" w:lineRule="auto"/>
        <w:ind w:firstLine="720"/>
        <w:jc w:val="both"/>
        <w:rPr>
          <w:szCs w:val="24"/>
        </w:rPr>
      </w:pPr>
    </w:p>
    <w:p w:rsidR="009329E8" w:rsidRDefault="007219D9" w:rsidP="00941A37">
      <w:pPr>
        <w:spacing w:after="0" w:line="240" w:lineRule="auto"/>
        <w:ind w:firstLine="720"/>
        <w:jc w:val="both"/>
        <w:rPr>
          <w:szCs w:val="24"/>
        </w:rPr>
      </w:pPr>
      <w:r w:rsidRPr="00941A37">
        <w:rPr>
          <w:szCs w:val="24"/>
        </w:rPr>
        <w:t xml:space="preserve">It is a fair assumption that public schooling should serve to prepare students </w:t>
      </w:r>
      <w:r w:rsidR="004478CA" w:rsidRPr="00941A37">
        <w:rPr>
          <w:szCs w:val="24"/>
        </w:rPr>
        <w:t>so that they may flourish</w:t>
      </w:r>
      <w:r w:rsidRPr="00941A37">
        <w:rPr>
          <w:szCs w:val="24"/>
        </w:rPr>
        <w:t xml:space="preserve">, however one chooses to operationalize such a concept. </w:t>
      </w:r>
      <w:r w:rsidR="00991B3B" w:rsidRPr="00941A37">
        <w:rPr>
          <w:szCs w:val="24"/>
        </w:rPr>
        <w:t>Brighouse’s (2006)</w:t>
      </w:r>
      <w:r w:rsidR="00DF7FF9" w:rsidRPr="00941A37">
        <w:rPr>
          <w:szCs w:val="24"/>
        </w:rPr>
        <w:t xml:space="preserve"> notion of flourishing</w:t>
      </w:r>
      <w:r w:rsidR="00A67712" w:rsidRPr="00941A37">
        <w:rPr>
          <w:szCs w:val="24"/>
        </w:rPr>
        <w:t xml:space="preserve"> is straightforward:</w:t>
      </w:r>
      <w:r w:rsidR="00BA2FDE" w:rsidRPr="00941A37">
        <w:rPr>
          <w:szCs w:val="24"/>
        </w:rPr>
        <w:t xml:space="preserve"> objectively valuable goods (e.g., a family one lo</w:t>
      </w:r>
      <w:r w:rsidR="00F276A9" w:rsidRPr="00941A37">
        <w:rPr>
          <w:szCs w:val="24"/>
        </w:rPr>
        <w:t>ves,</w:t>
      </w:r>
      <w:r w:rsidR="003C7C8D" w:rsidRPr="00941A37">
        <w:rPr>
          <w:szCs w:val="24"/>
        </w:rPr>
        <w:t xml:space="preserve"> a home</w:t>
      </w:r>
      <w:r w:rsidR="00F276A9" w:rsidRPr="00941A37">
        <w:rPr>
          <w:szCs w:val="24"/>
        </w:rPr>
        <w:t>, etc.</w:t>
      </w:r>
      <w:r w:rsidR="003C7C8D" w:rsidRPr="00941A37">
        <w:rPr>
          <w:szCs w:val="24"/>
        </w:rPr>
        <w:t>), coupled with a lif</w:t>
      </w:r>
      <w:r w:rsidR="00BA2FDE" w:rsidRPr="00941A37">
        <w:rPr>
          <w:szCs w:val="24"/>
        </w:rPr>
        <w:t>e that is lived from the insi</w:t>
      </w:r>
      <w:r w:rsidR="003D68E1" w:rsidRPr="00941A37">
        <w:rPr>
          <w:szCs w:val="24"/>
        </w:rPr>
        <w:t xml:space="preserve">de (i.e., is commensurate with one’s </w:t>
      </w:r>
      <w:r w:rsidR="00BA2FDE" w:rsidRPr="00941A37">
        <w:rPr>
          <w:szCs w:val="24"/>
        </w:rPr>
        <w:t>desires), are together necessary and sufficient for a flourishing life</w:t>
      </w:r>
      <w:r w:rsidR="00B31002" w:rsidRPr="00941A37">
        <w:rPr>
          <w:szCs w:val="24"/>
        </w:rPr>
        <w:t xml:space="preserve"> (p. 16)</w:t>
      </w:r>
      <w:r w:rsidR="00BA2FDE" w:rsidRPr="00941A37">
        <w:rPr>
          <w:szCs w:val="24"/>
        </w:rPr>
        <w:t>.</w:t>
      </w:r>
      <w:r w:rsidR="00E33F00" w:rsidRPr="00941A37">
        <w:rPr>
          <w:szCs w:val="24"/>
        </w:rPr>
        <w:t xml:space="preserve"> </w:t>
      </w:r>
      <w:r w:rsidR="00190A95" w:rsidRPr="00941A37">
        <w:rPr>
          <w:szCs w:val="24"/>
        </w:rPr>
        <w:t>I</w:t>
      </w:r>
      <w:r w:rsidR="00247BEA" w:rsidRPr="00941A37">
        <w:rPr>
          <w:szCs w:val="24"/>
        </w:rPr>
        <w:t>mportantly,</w:t>
      </w:r>
      <w:r w:rsidR="002647B6" w:rsidRPr="00941A37">
        <w:rPr>
          <w:szCs w:val="24"/>
        </w:rPr>
        <w:t xml:space="preserve"> fostering this coupling should be schools’ primary aim. </w:t>
      </w:r>
      <w:r w:rsidR="003D68E1" w:rsidRPr="00941A37">
        <w:rPr>
          <w:szCs w:val="24"/>
        </w:rPr>
        <w:t xml:space="preserve">Its simplicity notwithstanding, flourishing incorporates a spectrum of needs, ranging from having a career, to spending time with friends and enjoying hobbies. </w:t>
      </w:r>
      <w:r w:rsidR="001764A9" w:rsidRPr="00941A37">
        <w:rPr>
          <w:szCs w:val="24"/>
        </w:rPr>
        <w:t xml:space="preserve">If one subscribes to the notion that </w:t>
      </w:r>
      <w:r w:rsidR="00BB3E1A" w:rsidRPr="00941A37">
        <w:rPr>
          <w:szCs w:val="24"/>
        </w:rPr>
        <w:t>flourishing should be a primary aim</w:t>
      </w:r>
      <w:r w:rsidR="005B57FF" w:rsidRPr="00941A37">
        <w:rPr>
          <w:szCs w:val="24"/>
        </w:rPr>
        <w:t xml:space="preserve"> of schooling</w:t>
      </w:r>
      <w:r w:rsidR="00BB3E1A" w:rsidRPr="00941A37">
        <w:rPr>
          <w:szCs w:val="24"/>
        </w:rPr>
        <w:t>, a</w:t>
      </w:r>
      <w:r w:rsidR="00234A9A" w:rsidRPr="00941A37">
        <w:rPr>
          <w:szCs w:val="24"/>
        </w:rPr>
        <w:t xml:space="preserve"> question that immediately arises is</w:t>
      </w:r>
      <w:r w:rsidR="00BB3E1A" w:rsidRPr="00941A37">
        <w:rPr>
          <w:szCs w:val="24"/>
        </w:rPr>
        <w:t xml:space="preserve"> how schools are </w:t>
      </w:r>
      <w:r w:rsidR="00233186" w:rsidRPr="00941A37">
        <w:rPr>
          <w:szCs w:val="24"/>
        </w:rPr>
        <w:t xml:space="preserve">to </w:t>
      </w:r>
      <w:r w:rsidR="001D1FD8" w:rsidRPr="00941A37">
        <w:rPr>
          <w:szCs w:val="24"/>
        </w:rPr>
        <w:t>cultivate such</w:t>
      </w:r>
      <w:r w:rsidR="00BB3E1A" w:rsidRPr="00941A37">
        <w:rPr>
          <w:szCs w:val="24"/>
        </w:rPr>
        <w:t>.</w:t>
      </w:r>
      <w:r w:rsidR="00DF571F" w:rsidRPr="00941A37">
        <w:rPr>
          <w:szCs w:val="24"/>
        </w:rPr>
        <w:t xml:space="preserve"> </w:t>
      </w:r>
      <w:r w:rsidR="003E11E3" w:rsidRPr="00941A37">
        <w:rPr>
          <w:szCs w:val="24"/>
        </w:rPr>
        <w:t xml:space="preserve">As one might anticipate, </w:t>
      </w:r>
      <w:proofErr w:type="spellStart"/>
      <w:r w:rsidR="003E11E3" w:rsidRPr="00941A37">
        <w:rPr>
          <w:szCs w:val="24"/>
        </w:rPr>
        <w:t>Brighouse</w:t>
      </w:r>
      <w:proofErr w:type="spellEnd"/>
      <w:r w:rsidR="003E11E3" w:rsidRPr="00941A37">
        <w:rPr>
          <w:szCs w:val="24"/>
        </w:rPr>
        <w:t xml:space="preserve"> (2006)</w:t>
      </w:r>
      <w:r w:rsidR="00027C96" w:rsidRPr="00941A37">
        <w:rPr>
          <w:szCs w:val="24"/>
        </w:rPr>
        <w:t xml:space="preserve"> does not have a prescription </w:t>
      </w:r>
      <w:r w:rsidR="007B4DAB" w:rsidRPr="00941A37">
        <w:rPr>
          <w:szCs w:val="24"/>
        </w:rPr>
        <w:t>for doing so</w:t>
      </w:r>
      <w:r w:rsidR="00233186" w:rsidRPr="00941A37">
        <w:rPr>
          <w:szCs w:val="24"/>
        </w:rPr>
        <w:t xml:space="preserve">. </w:t>
      </w:r>
      <w:r w:rsidR="00D274EF" w:rsidRPr="00941A37">
        <w:rPr>
          <w:szCs w:val="24"/>
        </w:rPr>
        <w:t>On the contrary, any</w:t>
      </w:r>
      <w:r w:rsidR="007B4DAB" w:rsidRPr="00941A37">
        <w:rPr>
          <w:szCs w:val="24"/>
        </w:rPr>
        <w:t xml:space="preserve"> prescriptio</w:t>
      </w:r>
      <w:r w:rsidR="004E3FF1" w:rsidRPr="00941A37">
        <w:rPr>
          <w:szCs w:val="24"/>
        </w:rPr>
        <w:t xml:space="preserve">n would </w:t>
      </w:r>
      <w:r w:rsidR="00193466" w:rsidRPr="00941A37">
        <w:rPr>
          <w:szCs w:val="24"/>
        </w:rPr>
        <w:t>likely</w:t>
      </w:r>
      <w:r w:rsidR="004E3FF1" w:rsidRPr="00941A37">
        <w:rPr>
          <w:szCs w:val="24"/>
        </w:rPr>
        <w:t xml:space="preserve"> </w:t>
      </w:r>
      <w:r w:rsidR="00EC3B98" w:rsidRPr="00941A37">
        <w:rPr>
          <w:szCs w:val="24"/>
        </w:rPr>
        <w:t xml:space="preserve">ignore the </w:t>
      </w:r>
      <w:r w:rsidR="000728FD" w:rsidRPr="00941A37">
        <w:rPr>
          <w:szCs w:val="24"/>
        </w:rPr>
        <w:t>multiplicity</w:t>
      </w:r>
      <w:r w:rsidR="00EC3B98" w:rsidRPr="00941A37">
        <w:rPr>
          <w:szCs w:val="24"/>
        </w:rPr>
        <w:t xml:space="preserve"> of </w:t>
      </w:r>
      <w:r w:rsidR="001D4958" w:rsidRPr="00941A37">
        <w:rPr>
          <w:szCs w:val="24"/>
        </w:rPr>
        <w:t>ways in which humans</w:t>
      </w:r>
      <w:r w:rsidR="00F94D5E" w:rsidRPr="00941A37">
        <w:rPr>
          <w:szCs w:val="24"/>
        </w:rPr>
        <w:t xml:space="preserve"> can</w:t>
      </w:r>
      <w:r w:rsidR="00CE645C" w:rsidRPr="00941A37">
        <w:rPr>
          <w:szCs w:val="24"/>
        </w:rPr>
        <w:t xml:space="preserve"> flourish – counterproductive to Brighouse’s aim.</w:t>
      </w:r>
      <w:r w:rsidR="002C454D" w:rsidRPr="00941A37">
        <w:rPr>
          <w:szCs w:val="24"/>
        </w:rPr>
        <w:t xml:space="preserve"> We are left</w:t>
      </w:r>
      <w:r w:rsidR="00C93812" w:rsidRPr="00941A37">
        <w:rPr>
          <w:szCs w:val="24"/>
        </w:rPr>
        <w:t xml:space="preserve"> on our own</w:t>
      </w:r>
      <w:r w:rsidR="002C454D" w:rsidRPr="00941A37">
        <w:rPr>
          <w:szCs w:val="24"/>
        </w:rPr>
        <w:t xml:space="preserve">, then, to </w:t>
      </w:r>
      <w:r w:rsidR="00C93812" w:rsidRPr="00941A37">
        <w:rPr>
          <w:szCs w:val="24"/>
        </w:rPr>
        <w:t xml:space="preserve">situate mathematics within a curriculum that fosters flourishing. </w:t>
      </w:r>
      <w:r w:rsidR="00C234EB" w:rsidRPr="00941A37">
        <w:rPr>
          <w:szCs w:val="24"/>
        </w:rPr>
        <w:t xml:space="preserve">In what follows, I </w:t>
      </w:r>
      <w:r w:rsidR="00393BF6" w:rsidRPr="00941A37">
        <w:rPr>
          <w:szCs w:val="24"/>
        </w:rPr>
        <w:t>examine a spectrum of</w:t>
      </w:r>
      <w:r w:rsidR="00C234EB" w:rsidRPr="00941A37">
        <w:rPr>
          <w:szCs w:val="24"/>
        </w:rPr>
        <w:t xml:space="preserve"> possible answers to the latter quandary</w:t>
      </w:r>
      <w:r w:rsidR="00C02347" w:rsidRPr="00941A37">
        <w:rPr>
          <w:szCs w:val="24"/>
        </w:rPr>
        <w:t>, including t</w:t>
      </w:r>
      <w:r w:rsidR="009329E8" w:rsidRPr="00941A37">
        <w:rPr>
          <w:szCs w:val="24"/>
        </w:rPr>
        <w:t>he significant incorporation, drastic reduction, or—as I will propose—the modest change, of mathematics in school curricula.</w:t>
      </w:r>
    </w:p>
    <w:p w:rsidR="006C1367" w:rsidRPr="00941A37" w:rsidRDefault="006C1367" w:rsidP="00941A37">
      <w:pPr>
        <w:spacing w:after="0" w:line="240" w:lineRule="auto"/>
        <w:ind w:firstLine="720"/>
        <w:jc w:val="both"/>
        <w:rPr>
          <w:szCs w:val="24"/>
        </w:rPr>
      </w:pPr>
    </w:p>
    <w:p w:rsidR="00797F9C" w:rsidRDefault="00053C5E" w:rsidP="00941A37">
      <w:pPr>
        <w:spacing w:after="0" w:line="240" w:lineRule="auto"/>
        <w:jc w:val="both"/>
        <w:rPr>
          <w:szCs w:val="24"/>
        </w:rPr>
      </w:pPr>
      <w:r w:rsidRPr="00941A37">
        <w:rPr>
          <w:szCs w:val="24"/>
        </w:rPr>
        <w:tab/>
      </w:r>
      <w:r w:rsidR="00887106" w:rsidRPr="00941A37">
        <w:rPr>
          <w:szCs w:val="24"/>
        </w:rPr>
        <w:t>T</w:t>
      </w:r>
      <w:r w:rsidRPr="00941A37">
        <w:rPr>
          <w:szCs w:val="24"/>
        </w:rPr>
        <w:t>he former possibility alluded to above—the significant incorporation of mathematics in school curricula—is the status quo for the discipline in most schooling systems</w:t>
      </w:r>
      <w:r w:rsidR="004411C2" w:rsidRPr="00941A37">
        <w:rPr>
          <w:szCs w:val="24"/>
        </w:rPr>
        <w:t xml:space="preserve"> across the globe</w:t>
      </w:r>
      <w:r w:rsidRPr="00941A37">
        <w:rPr>
          <w:szCs w:val="24"/>
        </w:rPr>
        <w:t>.</w:t>
      </w:r>
      <w:r w:rsidR="00352028" w:rsidRPr="00941A37">
        <w:rPr>
          <w:szCs w:val="24"/>
        </w:rPr>
        <w:t xml:space="preserve"> The</w:t>
      </w:r>
      <w:r w:rsidR="00C227AA" w:rsidRPr="00941A37">
        <w:rPr>
          <w:szCs w:val="24"/>
        </w:rPr>
        <w:t xml:space="preserve"> common</w:t>
      </w:r>
      <w:r w:rsidR="00352028" w:rsidRPr="00941A37">
        <w:rPr>
          <w:szCs w:val="24"/>
        </w:rPr>
        <w:t xml:space="preserve"> </w:t>
      </w:r>
      <w:r w:rsidR="00010F4B" w:rsidRPr="00941A37">
        <w:rPr>
          <w:szCs w:val="24"/>
        </w:rPr>
        <w:t>reasoning for this</w:t>
      </w:r>
      <w:r w:rsidR="00352028" w:rsidRPr="00941A37">
        <w:rPr>
          <w:szCs w:val="24"/>
        </w:rPr>
        <w:t xml:space="preserve"> is as follows: mathematics</w:t>
      </w:r>
      <w:r w:rsidR="00F53BC6" w:rsidRPr="00941A37">
        <w:rPr>
          <w:szCs w:val="24"/>
        </w:rPr>
        <w:t xml:space="preserve"> (when properly taught)</w:t>
      </w:r>
      <w:r w:rsidR="00352028" w:rsidRPr="00941A37">
        <w:rPr>
          <w:szCs w:val="24"/>
        </w:rPr>
        <w:t xml:space="preserve"> is a beautiful subject, one which has not only enticed researchers for </w:t>
      </w:r>
      <w:r w:rsidR="004C1080" w:rsidRPr="00941A37">
        <w:rPr>
          <w:szCs w:val="24"/>
        </w:rPr>
        <w:t xml:space="preserve">millennia </w:t>
      </w:r>
      <w:r w:rsidR="00352028" w:rsidRPr="00941A37">
        <w:rPr>
          <w:szCs w:val="24"/>
        </w:rPr>
        <w:t>with its splendor</w:t>
      </w:r>
      <w:r w:rsidR="006A4257" w:rsidRPr="00941A37">
        <w:rPr>
          <w:szCs w:val="24"/>
        </w:rPr>
        <w:t xml:space="preserve"> (e.g., Newton’s Laws, the proofs of Euclid, etc.)</w:t>
      </w:r>
      <w:r w:rsidR="00352028" w:rsidRPr="00941A37">
        <w:rPr>
          <w:szCs w:val="24"/>
        </w:rPr>
        <w:t xml:space="preserve">, but also proven useful for both daily living and </w:t>
      </w:r>
      <w:r w:rsidR="000D796E" w:rsidRPr="00941A37">
        <w:rPr>
          <w:szCs w:val="24"/>
        </w:rPr>
        <w:t>our progression as a capitalistic society (e.g., building bridges, drilling for oil, etc.)</w:t>
      </w:r>
      <w:r w:rsidR="00F627AD" w:rsidRPr="00941A37">
        <w:rPr>
          <w:szCs w:val="24"/>
        </w:rPr>
        <w:t xml:space="preserve"> </w:t>
      </w:r>
      <w:proofErr w:type="gramStart"/>
      <w:r w:rsidR="00F627AD" w:rsidRPr="00941A37">
        <w:rPr>
          <w:szCs w:val="24"/>
        </w:rPr>
        <w:t>(Mumford, 2006)</w:t>
      </w:r>
      <w:r w:rsidR="000D796E" w:rsidRPr="00941A37">
        <w:rPr>
          <w:szCs w:val="24"/>
        </w:rPr>
        <w:t>.</w:t>
      </w:r>
      <w:proofErr w:type="gramEnd"/>
      <w:r w:rsidR="000D796E" w:rsidRPr="00941A37">
        <w:rPr>
          <w:szCs w:val="24"/>
        </w:rPr>
        <w:t xml:space="preserve"> </w:t>
      </w:r>
      <w:r w:rsidR="008C7211" w:rsidRPr="00941A37">
        <w:rPr>
          <w:szCs w:val="24"/>
        </w:rPr>
        <w:t>A</w:t>
      </w:r>
      <w:r w:rsidR="00010F4B" w:rsidRPr="00941A37">
        <w:rPr>
          <w:szCs w:val="24"/>
        </w:rPr>
        <w:t xml:space="preserve"> liberal education</w:t>
      </w:r>
      <w:r w:rsidR="008C7211" w:rsidRPr="00941A37">
        <w:rPr>
          <w:szCs w:val="24"/>
        </w:rPr>
        <w:t>—which we see remnants of within</w:t>
      </w:r>
      <w:r w:rsidR="000241E8" w:rsidRPr="00941A37">
        <w:rPr>
          <w:szCs w:val="24"/>
        </w:rPr>
        <w:t xml:space="preserve"> modern public-school curricula</w:t>
      </w:r>
      <w:r w:rsidR="008C7211" w:rsidRPr="00941A37">
        <w:rPr>
          <w:szCs w:val="24"/>
        </w:rPr>
        <w:t xml:space="preserve">—should include mathematics so that it may awe future generations too. </w:t>
      </w:r>
      <w:r w:rsidR="00255187" w:rsidRPr="00941A37">
        <w:rPr>
          <w:szCs w:val="24"/>
        </w:rPr>
        <w:t xml:space="preserve">Conveniently, </w:t>
      </w:r>
      <w:r w:rsidR="004C1080" w:rsidRPr="00941A37">
        <w:rPr>
          <w:szCs w:val="24"/>
        </w:rPr>
        <w:t xml:space="preserve">modern </w:t>
      </w:r>
      <w:r w:rsidR="00255187" w:rsidRPr="00941A37">
        <w:rPr>
          <w:szCs w:val="24"/>
        </w:rPr>
        <w:t xml:space="preserve">students also need to be able to balance checkbooks </w:t>
      </w:r>
      <w:r w:rsidR="000241E8" w:rsidRPr="00941A37">
        <w:rPr>
          <w:szCs w:val="24"/>
        </w:rPr>
        <w:t xml:space="preserve">and calculate percent discounts, </w:t>
      </w:r>
      <w:r w:rsidR="0082259B" w:rsidRPr="00941A37">
        <w:rPr>
          <w:szCs w:val="24"/>
        </w:rPr>
        <w:t xml:space="preserve">so there is no question of </w:t>
      </w:r>
      <w:r w:rsidR="0082259B" w:rsidRPr="00941A37">
        <w:rPr>
          <w:i/>
          <w:szCs w:val="24"/>
        </w:rPr>
        <w:t xml:space="preserve">why </w:t>
      </w:r>
      <w:r w:rsidR="0082259B" w:rsidRPr="00941A37">
        <w:rPr>
          <w:szCs w:val="24"/>
        </w:rPr>
        <w:t xml:space="preserve">we should include mathematics in school – its utility is obvious. The </w:t>
      </w:r>
      <w:r w:rsidR="008A44A8" w:rsidRPr="00941A37">
        <w:rPr>
          <w:szCs w:val="24"/>
        </w:rPr>
        <w:t>primary</w:t>
      </w:r>
      <w:r w:rsidR="0082259B" w:rsidRPr="00941A37">
        <w:rPr>
          <w:szCs w:val="24"/>
        </w:rPr>
        <w:t xml:space="preserve"> issue, for </w:t>
      </w:r>
      <w:r w:rsidR="004E074D" w:rsidRPr="00941A37">
        <w:rPr>
          <w:szCs w:val="24"/>
        </w:rPr>
        <w:t>Mumford</w:t>
      </w:r>
      <w:r w:rsidR="003B45DC" w:rsidRPr="00941A37">
        <w:rPr>
          <w:szCs w:val="24"/>
        </w:rPr>
        <w:t xml:space="preserve"> (2006)</w:t>
      </w:r>
      <w:r w:rsidR="0082259B" w:rsidRPr="00941A37">
        <w:rPr>
          <w:szCs w:val="24"/>
        </w:rPr>
        <w:t xml:space="preserve"> and a host of others, is that</w:t>
      </w:r>
      <w:r w:rsidR="003B45DC" w:rsidRPr="00941A37">
        <w:rPr>
          <w:szCs w:val="24"/>
        </w:rPr>
        <w:t xml:space="preserve"> mathematics is not taught in a coherent way in schools</w:t>
      </w:r>
      <w:r w:rsidR="000021A9" w:rsidRPr="00941A37">
        <w:rPr>
          <w:szCs w:val="24"/>
        </w:rPr>
        <w:t>; instead,</w:t>
      </w:r>
      <w:r w:rsidR="003B45DC" w:rsidRPr="00941A37">
        <w:rPr>
          <w:szCs w:val="24"/>
        </w:rPr>
        <w:t xml:space="preserve"> students often conceive of the discipline as disparate both within itself as well as from other subjects. </w:t>
      </w:r>
      <w:r w:rsidR="008A058A" w:rsidRPr="00941A37">
        <w:rPr>
          <w:szCs w:val="24"/>
        </w:rPr>
        <w:t xml:space="preserve">This is because of our tendency </w:t>
      </w:r>
      <w:r w:rsidR="00AB70C8" w:rsidRPr="00941A37">
        <w:rPr>
          <w:szCs w:val="24"/>
        </w:rPr>
        <w:t xml:space="preserve">(at least in U.S. schools) </w:t>
      </w:r>
      <w:r w:rsidR="008A058A" w:rsidRPr="00941A37">
        <w:rPr>
          <w:szCs w:val="24"/>
        </w:rPr>
        <w:t xml:space="preserve">to teach mathematics as a “forced march” through fractions, geometry, quadratic equations, and so on – all with little connection </w:t>
      </w:r>
      <w:r w:rsidR="00A46DFD" w:rsidRPr="00941A37">
        <w:rPr>
          <w:szCs w:val="24"/>
        </w:rPr>
        <w:t>to the real world or with other topics in the discipline itself (p. 29).</w:t>
      </w:r>
      <w:r w:rsidR="00973EB1" w:rsidRPr="00941A37">
        <w:rPr>
          <w:szCs w:val="24"/>
        </w:rPr>
        <w:t xml:space="preserve"> </w:t>
      </w:r>
    </w:p>
    <w:p w:rsidR="006C1367" w:rsidRPr="00941A37" w:rsidRDefault="006C1367" w:rsidP="00941A37">
      <w:pPr>
        <w:spacing w:after="0" w:line="240" w:lineRule="auto"/>
        <w:jc w:val="both"/>
        <w:rPr>
          <w:szCs w:val="24"/>
        </w:rPr>
      </w:pPr>
    </w:p>
    <w:p w:rsidR="0099352C" w:rsidRDefault="00973EB1" w:rsidP="00941A37">
      <w:pPr>
        <w:spacing w:after="0" w:line="240" w:lineRule="auto"/>
        <w:ind w:firstLine="720"/>
        <w:jc w:val="both"/>
        <w:rPr>
          <w:szCs w:val="24"/>
        </w:rPr>
      </w:pPr>
      <w:r w:rsidRPr="00941A37">
        <w:rPr>
          <w:szCs w:val="24"/>
        </w:rPr>
        <w:t xml:space="preserve">Mumford’s </w:t>
      </w:r>
      <w:r w:rsidR="00D94743" w:rsidRPr="00941A37">
        <w:rPr>
          <w:szCs w:val="24"/>
        </w:rPr>
        <w:t xml:space="preserve">charge is a </w:t>
      </w:r>
      <w:r w:rsidR="00C72CD0" w:rsidRPr="00941A37">
        <w:rPr>
          <w:szCs w:val="24"/>
        </w:rPr>
        <w:t xml:space="preserve">common and </w:t>
      </w:r>
      <w:r w:rsidR="00D94743" w:rsidRPr="00941A37">
        <w:rPr>
          <w:szCs w:val="24"/>
        </w:rPr>
        <w:t xml:space="preserve">nontrivial </w:t>
      </w:r>
      <w:proofErr w:type="gramStart"/>
      <w:r w:rsidR="00D94743" w:rsidRPr="00941A37">
        <w:rPr>
          <w:szCs w:val="24"/>
        </w:rPr>
        <w:t>one,</w:t>
      </w:r>
      <w:proofErr w:type="gramEnd"/>
      <w:r w:rsidR="00D94743" w:rsidRPr="00941A37">
        <w:rPr>
          <w:szCs w:val="24"/>
        </w:rPr>
        <w:t xml:space="preserve"> with recent reform</w:t>
      </w:r>
      <w:r w:rsidR="00701478" w:rsidRPr="00941A37">
        <w:rPr>
          <w:szCs w:val="24"/>
        </w:rPr>
        <w:t>s</w:t>
      </w:r>
      <w:r w:rsidR="00D94743" w:rsidRPr="00941A37">
        <w:rPr>
          <w:szCs w:val="24"/>
        </w:rPr>
        <w:t xml:space="preserve"> such as the</w:t>
      </w:r>
      <w:r w:rsidR="00963E08" w:rsidRPr="00941A37">
        <w:rPr>
          <w:szCs w:val="24"/>
        </w:rPr>
        <w:t xml:space="preserve"> National Council of Teachers of</w:t>
      </w:r>
      <w:r w:rsidR="00D94743" w:rsidRPr="00941A37">
        <w:rPr>
          <w:szCs w:val="24"/>
        </w:rPr>
        <w:t xml:space="preserve"> </w:t>
      </w:r>
      <w:r w:rsidR="00963E08" w:rsidRPr="00941A37">
        <w:rPr>
          <w:szCs w:val="24"/>
        </w:rPr>
        <w:t xml:space="preserve">Mathematics (2000) </w:t>
      </w:r>
      <w:r w:rsidR="00963E08" w:rsidRPr="00941A37">
        <w:rPr>
          <w:i/>
          <w:szCs w:val="24"/>
        </w:rPr>
        <w:t>Standards</w:t>
      </w:r>
      <w:r w:rsidR="00963E08" w:rsidRPr="00941A37">
        <w:rPr>
          <w:szCs w:val="24"/>
        </w:rPr>
        <w:t xml:space="preserve"> and the National Governors Association’s (2010) </w:t>
      </w:r>
      <w:r w:rsidR="00963E08" w:rsidRPr="00941A37">
        <w:rPr>
          <w:i/>
          <w:szCs w:val="24"/>
        </w:rPr>
        <w:t xml:space="preserve">Common Core State Standards for Mathematics </w:t>
      </w:r>
      <w:r w:rsidR="00963E08" w:rsidRPr="00941A37">
        <w:rPr>
          <w:szCs w:val="24"/>
        </w:rPr>
        <w:t xml:space="preserve">providing </w:t>
      </w:r>
      <w:r w:rsidR="00D84E32" w:rsidRPr="00941A37">
        <w:rPr>
          <w:szCs w:val="24"/>
        </w:rPr>
        <w:t>important guidance in mollifying the “problem.”</w:t>
      </w:r>
      <w:r w:rsidR="00171838" w:rsidRPr="00941A37">
        <w:rPr>
          <w:szCs w:val="24"/>
        </w:rPr>
        <w:t xml:space="preserve"> Absent from the conversation</w:t>
      </w:r>
      <w:r w:rsidR="00D356FD" w:rsidRPr="00941A37">
        <w:rPr>
          <w:szCs w:val="24"/>
        </w:rPr>
        <w:t xml:space="preserve"> and standards</w:t>
      </w:r>
      <w:r w:rsidR="00171838" w:rsidRPr="00941A37">
        <w:rPr>
          <w:szCs w:val="24"/>
        </w:rPr>
        <w:t>, however, are the aims of such mollifications, and of the curriculum in general.</w:t>
      </w:r>
      <w:r w:rsidR="00147532" w:rsidRPr="00941A37">
        <w:rPr>
          <w:szCs w:val="24"/>
        </w:rPr>
        <w:t xml:space="preserve"> </w:t>
      </w:r>
      <w:r w:rsidR="00D356FD" w:rsidRPr="00941A37">
        <w:rPr>
          <w:szCs w:val="24"/>
        </w:rPr>
        <w:t>Indeed, t</w:t>
      </w:r>
      <w:r w:rsidR="00C72CD0" w:rsidRPr="00941A37">
        <w:rPr>
          <w:szCs w:val="24"/>
        </w:rPr>
        <w:t>he</w:t>
      </w:r>
      <w:r w:rsidR="00C44AB0" w:rsidRPr="00941A37">
        <w:rPr>
          <w:szCs w:val="24"/>
        </w:rPr>
        <w:t xml:space="preserve">re are </w:t>
      </w:r>
      <w:r w:rsidR="00B27AE4" w:rsidRPr="00941A37">
        <w:rPr>
          <w:szCs w:val="24"/>
        </w:rPr>
        <w:t>many</w:t>
      </w:r>
      <w:r w:rsidR="00C44AB0" w:rsidRPr="00941A37">
        <w:rPr>
          <w:szCs w:val="24"/>
        </w:rPr>
        <w:t xml:space="preserve"> questions with unclear answers</w:t>
      </w:r>
      <w:r w:rsidR="00577FCC" w:rsidRPr="00941A37">
        <w:rPr>
          <w:szCs w:val="24"/>
        </w:rPr>
        <w:t>, including: I</w:t>
      </w:r>
      <w:r w:rsidR="00C72CD0" w:rsidRPr="00941A37">
        <w:rPr>
          <w:szCs w:val="24"/>
        </w:rPr>
        <w:t xml:space="preserve">f we </w:t>
      </w:r>
      <w:r w:rsidR="001A0603" w:rsidRPr="00941A37">
        <w:rPr>
          <w:szCs w:val="24"/>
        </w:rPr>
        <w:t>as educators had our</w:t>
      </w:r>
      <w:r w:rsidR="00C72CD0" w:rsidRPr="00941A37">
        <w:rPr>
          <w:szCs w:val="24"/>
        </w:rPr>
        <w:t xml:space="preserve"> way, what would students do</w:t>
      </w:r>
      <w:r w:rsidR="00C72CD0" w:rsidRPr="00941A37">
        <w:rPr>
          <w:i/>
          <w:szCs w:val="24"/>
        </w:rPr>
        <w:t xml:space="preserve"> </w:t>
      </w:r>
      <w:r w:rsidR="00C72CD0" w:rsidRPr="00941A37">
        <w:rPr>
          <w:szCs w:val="24"/>
        </w:rPr>
        <w:t xml:space="preserve">with the mathematics we aim to teach? Would they all become engineers, computer scientists, or accountants? </w:t>
      </w:r>
      <w:r w:rsidR="00211FD7" w:rsidRPr="00941A37">
        <w:rPr>
          <w:szCs w:val="24"/>
        </w:rPr>
        <w:t>Would</w:t>
      </w:r>
      <w:r w:rsidR="00C44AB0" w:rsidRPr="00941A37">
        <w:rPr>
          <w:szCs w:val="24"/>
        </w:rPr>
        <w:t xml:space="preserve"> they all become mathematicians?</w:t>
      </w:r>
      <w:r w:rsidR="00076C8D" w:rsidRPr="00941A37">
        <w:rPr>
          <w:szCs w:val="24"/>
        </w:rPr>
        <w:t xml:space="preserve"> Such answers are central to understanding why student occupy </w:t>
      </w:r>
      <w:r w:rsidR="003072B9" w:rsidRPr="00941A37">
        <w:rPr>
          <w:szCs w:val="24"/>
        </w:rPr>
        <w:t>mathematics</w:t>
      </w:r>
      <w:r w:rsidR="00076C8D" w:rsidRPr="00941A37">
        <w:rPr>
          <w:szCs w:val="24"/>
        </w:rPr>
        <w:t xml:space="preserve"> classrooms for roughly a decade of their lives.</w:t>
      </w:r>
      <w:r w:rsidR="009725D8" w:rsidRPr="00941A37">
        <w:rPr>
          <w:szCs w:val="24"/>
        </w:rPr>
        <w:t xml:space="preserve"> </w:t>
      </w:r>
      <w:r w:rsidR="00453C8D" w:rsidRPr="00941A37">
        <w:rPr>
          <w:szCs w:val="24"/>
        </w:rPr>
        <w:t>E</w:t>
      </w:r>
      <w:r w:rsidR="009725D8" w:rsidRPr="00941A37">
        <w:rPr>
          <w:szCs w:val="24"/>
        </w:rPr>
        <w:t xml:space="preserve">ven if answers to the latter two questions were both “yes,” </w:t>
      </w:r>
      <w:r w:rsidR="00453C8D" w:rsidRPr="00941A37">
        <w:rPr>
          <w:szCs w:val="24"/>
        </w:rPr>
        <w:t xml:space="preserve">such scenarios are unrealistic. </w:t>
      </w:r>
    </w:p>
    <w:p w:rsidR="006C1367" w:rsidRPr="00941A37" w:rsidRDefault="006C1367" w:rsidP="00941A37">
      <w:pPr>
        <w:spacing w:after="0" w:line="240" w:lineRule="auto"/>
        <w:ind w:firstLine="720"/>
        <w:jc w:val="both"/>
        <w:rPr>
          <w:szCs w:val="24"/>
        </w:rPr>
      </w:pPr>
    </w:p>
    <w:p w:rsidR="00010F4B" w:rsidRPr="00941A37" w:rsidRDefault="009D7B80" w:rsidP="00941A37">
      <w:pPr>
        <w:spacing w:after="0" w:line="240" w:lineRule="auto"/>
        <w:ind w:firstLine="720"/>
        <w:jc w:val="both"/>
        <w:rPr>
          <w:szCs w:val="24"/>
        </w:rPr>
      </w:pPr>
      <w:r w:rsidRPr="00941A37">
        <w:rPr>
          <w:szCs w:val="24"/>
        </w:rPr>
        <w:t>With this low likelihood in hand</w:t>
      </w:r>
      <w:r w:rsidR="00453C8D" w:rsidRPr="00941A37">
        <w:rPr>
          <w:szCs w:val="24"/>
        </w:rPr>
        <w:t>,</w:t>
      </w:r>
      <w:r w:rsidRPr="00941A37">
        <w:rPr>
          <w:szCs w:val="24"/>
        </w:rPr>
        <w:t xml:space="preserve"> Gibson (1986) notes:</w:t>
      </w:r>
      <w:r w:rsidR="00453C8D" w:rsidRPr="00941A37">
        <w:rPr>
          <w:szCs w:val="24"/>
        </w:rPr>
        <w:t xml:space="preserve"> “That some persons are going to be physicists is not a </w:t>
      </w:r>
      <w:r w:rsidR="001D5E93" w:rsidRPr="00941A37">
        <w:rPr>
          <w:szCs w:val="24"/>
        </w:rPr>
        <w:t>sufficient reason…</w:t>
      </w:r>
      <w:r w:rsidR="00453C8D" w:rsidRPr="00941A37">
        <w:rPr>
          <w:szCs w:val="24"/>
        </w:rPr>
        <w:t xml:space="preserve">for making as if to teach everyone the differential </w:t>
      </w:r>
      <w:r w:rsidR="00453C8D" w:rsidRPr="00941A37">
        <w:rPr>
          <w:szCs w:val="24"/>
        </w:rPr>
        <w:lastRenderedPageBreak/>
        <w:t>calculus</w:t>
      </w:r>
      <w:r w:rsidR="00B4416D" w:rsidRPr="00941A37">
        <w:rPr>
          <w:szCs w:val="24"/>
        </w:rPr>
        <w:t>”</w:t>
      </w:r>
      <w:r w:rsidR="00453C8D" w:rsidRPr="00941A37">
        <w:rPr>
          <w:szCs w:val="24"/>
        </w:rPr>
        <w:t xml:space="preserve"> (p. 28).</w:t>
      </w:r>
      <w:r w:rsidR="0099352C" w:rsidRPr="00941A37">
        <w:rPr>
          <w:szCs w:val="24"/>
        </w:rPr>
        <w:t xml:space="preserve"> </w:t>
      </w:r>
      <w:r w:rsidR="001D5E93" w:rsidRPr="00941A37">
        <w:rPr>
          <w:szCs w:val="24"/>
        </w:rPr>
        <w:t xml:space="preserve">This charge notwithstanding, our curriculum does </w:t>
      </w:r>
      <w:r w:rsidR="0022122C" w:rsidRPr="00941A37">
        <w:rPr>
          <w:szCs w:val="24"/>
        </w:rPr>
        <w:t>so</w:t>
      </w:r>
      <w:r w:rsidR="001D5E93" w:rsidRPr="00941A37">
        <w:rPr>
          <w:szCs w:val="24"/>
        </w:rPr>
        <w:t xml:space="preserve"> anyway, </w:t>
      </w:r>
      <w:r w:rsidR="002E1DEC" w:rsidRPr="00941A37">
        <w:rPr>
          <w:szCs w:val="24"/>
        </w:rPr>
        <w:t>teaching everyone the same mathematics (more or less) while only a small portion go on to actually use it. What is more, whenever we elect to make change like that called for</w:t>
      </w:r>
      <w:r w:rsidR="00F842F2" w:rsidRPr="00941A37">
        <w:rPr>
          <w:szCs w:val="24"/>
        </w:rPr>
        <w:t xml:space="preserve"> by</w:t>
      </w:r>
      <w:r w:rsidR="002E1DEC" w:rsidRPr="00941A37">
        <w:rPr>
          <w:szCs w:val="24"/>
        </w:rPr>
        <w:t xml:space="preserve"> Mumford (2006), we see the following:</w:t>
      </w:r>
    </w:p>
    <w:p w:rsidR="00187A07" w:rsidRDefault="00187A07" w:rsidP="00941A37">
      <w:pPr>
        <w:autoSpaceDE w:val="0"/>
        <w:autoSpaceDN w:val="0"/>
        <w:adjustRightInd w:val="0"/>
        <w:spacing w:after="0" w:line="240" w:lineRule="auto"/>
        <w:ind w:left="720"/>
        <w:jc w:val="both"/>
        <w:rPr>
          <w:szCs w:val="24"/>
        </w:rPr>
      </w:pPr>
      <w:r w:rsidRPr="00941A37">
        <w:rPr>
          <w:szCs w:val="24"/>
        </w:rPr>
        <w:t xml:space="preserve">Gatherings of mathematical educators like the Cockcroft Committee have it as their business to decide </w:t>
      </w:r>
      <w:r w:rsidRPr="00941A37">
        <w:rPr>
          <w:i/>
          <w:iCs/>
          <w:szCs w:val="24"/>
        </w:rPr>
        <w:t xml:space="preserve">how </w:t>
      </w:r>
      <w:r w:rsidRPr="00941A37">
        <w:rPr>
          <w:szCs w:val="24"/>
        </w:rPr>
        <w:t xml:space="preserve">maths should be taught. They spare little time for the question of </w:t>
      </w:r>
      <w:r w:rsidRPr="00941A37">
        <w:rPr>
          <w:i/>
          <w:iCs/>
          <w:szCs w:val="24"/>
        </w:rPr>
        <w:t xml:space="preserve">why </w:t>
      </w:r>
      <w:r w:rsidRPr="00941A37">
        <w:rPr>
          <w:szCs w:val="24"/>
        </w:rPr>
        <w:t xml:space="preserve">maths should be taught, and none for the question of </w:t>
      </w:r>
      <w:r w:rsidRPr="00941A37">
        <w:rPr>
          <w:i/>
          <w:iCs/>
          <w:szCs w:val="24"/>
        </w:rPr>
        <w:t>whether we need so much</w:t>
      </w:r>
      <w:r w:rsidR="00E47828" w:rsidRPr="00941A37">
        <w:rPr>
          <w:i/>
          <w:iCs/>
          <w:szCs w:val="24"/>
        </w:rPr>
        <w:t>…</w:t>
      </w:r>
      <w:r w:rsidRPr="00941A37">
        <w:rPr>
          <w:szCs w:val="24"/>
        </w:rPr>
        <w:t xml:space="preserve">The attitude taken is: if the maths we teach is found wanting, let’s have </w:t>
      </w:r>
      <w:r w:rsidRPr="00941A37">
        <w:rPr>
          <w:i/>
          <w:iCs/>
          <w:szCs w:val="24"/>
        </w:rPr>
        <w:t xml:space="preserve">new </w:t>
      </w:r>
      <w:r w:rsidRPr="00941A37">
        <w:rPr>
          <w:szCs w:val="24"/>
        </w:rPr>
        <w:t xml:space="preserve">maths-not </w:t>
      </w:r>
      <w:r w:rsidRPr="00941A37">
        <w:rPr>
          <w:i/>
          <w:iCs/>
          <w:szCs w:val="24"/>
        </w:rPr>
        <w:t xml:space="preserve">less </w:t>
      </w:r>
      <w:r w:rsidRPr="00941A37">
        <w:rPr>
          <w:szCs w:val="24"/>
        </w:rPr>
        <w:t>maths. (</w:t>
      </w:r>
      <w:r w:rsidR="00F61B3E" w:rsidRPr="00941A37">
        <w:rPr>
          <w:szCs w:val="24"/>
        </w:rPr>
        <w:t xml:space="preserve">Gibson, 1986, </w:t>
      </w:r>
      <w:r w:rsidRPr="00941A37">
        <w:rPr>
          <w:szCs w:val="24"/>
        </w:rPr>
        <w:t>p. 26)</w:t>
      </w:r>
    </w:p>
    <w:p w:rsidR="006C1367" w:rsidRPr="00941A37" w:rsidRDefault="006C1367" w:rsidP="00941A37">
      <w:pPr>
        <w:autoSpaceDE w:val="0"/>
        <w:autoSpaceDN w:val="0"/>
        <w:adjustRightInd w:val="0"/>
        <w:spacing w:after="0" w:line="240" w:lineRule="auto"/>
        <w:ind w:left="720"/>
        <w:jc w:val="both"/>
        <w:rPr>
          <w:szCs w:val="24"/>
        </w:rPr>
      </w:pPr>
    </w:p>
    <w:p w:rsidR="00442FF6" w:rsidRDefault="00B358B0" w:rsidP="00941A37">
      <w:pPr>
        <w:spacing w:after="0" w:line="240" w:lineRule="auto"/>
        <w:jc w:val="both"/>
        <w:rPr>
          <w:szCs w:val="24"/>
        </w:rPr>
      </w:pPr>
      <w:r w:rsidRPr="00941A37">
        <w:rPr>
          <w:szCs w:val="24"/>
        </w:rPr>
        <w:t>The</w:t>
      </w:r>
      <w:r w:rsidR="007D26EA" w:rsidRPr="00941A37">
        <w:rPr>
          <w:szCs w:val="24"/>
        </w:rPr>
        <w:t xml:space="preserve"> question</w:t>
      </w:r>
      <w:r w:rsidRPr="00941A37">
        <w:rPr>
          <w:szCs w:val="24"/>
        </w:rPr>
        <w:t xml:space="preserve"> that Gibson and I have</w:t>
      </w:r>
      <w:r w:rsidR="007D26EA" w:rsidRPr="00941A37">
        <w:rPr>
          <w:szCs w:val="24"/>
        </w:rPr>
        <w:t xml:space="preserve">—that of whether we </w:t>
      </w:r>
      <w:r w:rsidR="006C6663" w:rsidRPr="00941A37">
        <w:rPr>
          <w:szCs w:val="24"/>
        </w:rPr>
        <w:t>need</w:t>
      </w:r>
      <w:r w:rsidR="00746FAC" w:rsidRPr="00941A37">
        <w:rPr>
          <w:szCs w:val="24"/>
        </w:rPr>
        <w:t xml:space="preserve"> so much</w:t>
      </w:r>
      <w:r w:rsidR="007D26EA" w:rsidRPr="00941A37">
        <w:rPr>
          <w:szCs w:val="24"/>
        </w:rPr>
        <w:t xml:space="preserve"> </w:t>
      </w:r>
      <w:r w:rsidR="003072B9" w:rsidRPr="00941A37">
        <w:rPr>
          <w:szCs w:val="24"/>
        </w:rPr>
        <w:t>mathematics</w:t>
      </w:r>
      <w:r w:rsidR="006C6663" w:rsidRPr="00941A37">
        <w:rPr>
          <w:szCs w:val="24"/>
        </w:rPr>
        <w:t xml:space="preserve"> in schools</w:t>
      </w:r>
      <w:r w:rsidR="007D26EA" w:rsidRPr="00941A37">
        <w:rPr>
          <w:szCs w:val="24"/>
        </w:rPr>
        <w:t>—</w:t>
      </w:r>
      <w:r w:rsidR="000901DE" w:rsidRPr="00941A37">
        <w:rPr>
          <w:szCs w:val="24"/>
        </w:rPr>
        <w:t xml:space="preserve">may </w:t>
      </w:r>
      <w:r w:rsidR="00B90720" w:rsidRPr="00941A37">
        <w:rPr>
          <w:szCs w:val="24"/>
        </w:rPr>
        <w:t>come across as</w:t>
      </w:r>
      <w:r w:rsidR="000901DE" w:rsidRPr="00941A37">
        <w:rPr>
          <w:szCs w:val="24"/>
        </w:rPr>
        <w:t xml:space="preserve"> radical to </w:t>
      </w:r>
      <w:r w:rsidR="006C6663" w:rsidRPr="00941A37">
        <w:rPr>
          <w:szCs w:val="24"/>
        </w:rPr>
        <w:t>many mathematics educators</w:t>
      </w:r>
      <w:r w:rsidR="007D26EA" w:rsidRPr="00941A37">
        <w:rPr>
          <w:szCs w:val="24"/>
        </w:rPr>
        <w:t>. Indeed, given</w:t>
      </w:r>
      <w:r w:rsidR="00DF2ADE" w:rsidRPr="00941A37">
        <w:rPr>
          <w:szCs w:val="24"/>
        </w:rPr>
        <w:t xml:space="preserve"> the subject’s</w:t>
      </w:r>
      <w:r w:rsidR="000B1B9F" w:rsidRPr="00941A37">
        <w:rPr>
          <w:szCs w:val="24"/>
        </w:rPr>
        <w:t xml:space="preserve"> historical significance, as well as</w:t>
      </w:r>
      <w:r w:rsidR="007D26EA" w:rsidRPr="00941A37">
        <w:rPr>
          <w:szCs w:val="24"/>
        </w:rPr>
        <w:t xml:space="preserve"> the </w:t>
      </w:r>
      <w:r w:rsidR="00E74479" w:rsidRPr="00941A37">
        <w:rPr>
          <w:szCs w:val="24"/>
        </w:rPr>
        <w:t>current push for more students in science, technology, engineering, and mathematics (STEM) fields, su</w:t>
      </w:r>
      <w:r w:rsidR="00A45228" w:rsidRPr="00941A37">
        <w:rPr>
          <w:szCs w:val="24"/>
        </w:rPr>
        <w:t xml:space="preserve">ch a question might be blasphemous. </w:t>
      </w:r>
      <w:r w:rsidR="00114CAC" w:rsidRPr="00941A37">
        <w:rPr>
          <w:szCs w:val="24"/>
        </w:rPr>
        <w:t xml:space="preserve">It is nonetheless </w:t>
      </w:r>
      <w:r w:rsidR="00C45597" w:rsidRPr="00941A37">
        <w:rPr>
          <w:szCs w:val="24"/>
        </w:rPr>
        <w:t>valid</w:t>
      </w:r>
      <w:r w:rsidR="00114CAC" w:rsidRPr="00941A37">
        <w:rPr>
          <w:szCs w:val="24"/>
        </w:rPr>
        <w:t>.</w:t>
      </w:r>
      <w:r w:rsidR="00990D25" w:rsidRPr="00941A37">
        <w:rPr>
          <w:szCs w:val="24"/>
        </w:rPr>
        <w:t xml:space="preserve"> </w:t>
      </w:r>
    </w:p>
    <w:p w:rsidR="006C1367" w:rsidRPr="00941A37" w:rsidRDefault="006C1367" w:rsidP="00941A37">
      <w:pPr>
        <w:spacing w:after="0" w:line="240" w:lineRule="auto"/>
        <w:jc w:val="both"/>
        <w:rPr>
          <w:szCs w:val="24"/>
        </w:rPr>
      </w:pPr>
    </w:p>
    <w:p w:rsidR="00187A07" w:rsidRDefault="007D52A6" w:rsidP="00941A37">
      <w:pPr>
        <w:spacing w:after="0" w:line="240" w:lineRule="auto"/>
        <w:ind w:firstLine="720"/>
        <w:jc w:val="both"/>
        <w:rPr>
          <w:szCs w:val="24"/>
        </w:rPr>
      </w:pPr>
      <w:r w:rsidRPr="00941A37">
        <w:rPr>
          <w:szCs w:val="24"/>
        </w:rPr>
        <w:t>Gibson (1986) grounds the question in his concern that the formal teaching of logic is absent within most school curricula.</w:t>
      </w:r>
      <w:r w:rsidR="00990D25" w:rsidRPr="00941A37">
        <w:rPr>
          <w:szCs w:val="24"/>
        </w:rPr>
        <w:t xml:space="preserve"> </w:t>
      </w:r>
      <w:r w:rsidR="0005588C" w:rsidRPr="00941A37">
        <w:rPr>
          <w:szCs w:val="24"/>
        </w:rPr>
        <w:t xml:space="preserve">He argues that in teaching mathematics, we expect students to develop logic and problem-solving skills </w:t>
      </w:r>
      <w:r w:rsidR="00DB4D3B" w:rsidRPr="00941A37">
        <w:rPr>
          <w:szCs w:val="24"/>
        </w:rPr>
        <w:t xml:space="preserve">along the way. </w:t>
      </w:r>
      <w:r w:rsidR="00736468" w:rsidRPr="00941A37">
        <w:rPr>
          <w:szCs w:val="24"/>
        </w:rPr>
        <w:t>The</w:t>
      </w:r>
      <w:r w:rsidR="00DB4D3B" w:rsidRPr="00941A37">
        <w:rPr>
          <w:szCs w:val="24"/>
        </w:rPr>
        <w:t xml:space="preserve"> subject</w:t>
      </w:r>
      <w:r w:rsidR="00E92D88" w:rsidRPr="00941A37">
        <w:rPr>
          <w:szCs w:val="24"/>
        </w:rPr>
        <w:t xml:space="preserve"> has a long history for serving</w:t>
      </w:r>
      <w:r w:rsidR="00DB4D3B" w:rsidRPr="00941A37">
        <w:rPr>
          <w:szCs w:val="24"/>
        </w:rPr>
        <w:t xml:space="preserve"> a</w:t>
      </w:r>
      <w:r w:rsidR="00446A51" w:rsidRPr="00941A37">
        <w:rPr>
          <w:szCs w:val="24"/>
        </w:rPr>
        <w:t>s a</w:t>
      </w:r>
      <w:r w:rsidR="00DB4D3B" w:rsidRPr="00941A37">
        <w:rPr>
          <w:szCs w:val="24"/>
        </w:rPr>
        <w:t xml:space="preserve"> proxy for logic and </w:t>
      </w:r>
      <w:r w:rsidR="00E92D88" w:rsidRPr="00941A37">
        <w:rPr>
          <w:szCs w:val="24"/>
        </w:rPr>
        <w:t>rationality (p. 30)</w:t>
      </w:r>
      <w:r w:rsidR="00446A51" w:rsidRPr="00941A37">
        <w:rPr>
          <w:szCs w:val="24"/>
        </w:rPr>
        <w:t xml:space="preserve">; </w:t>
      </w:r>
      <w:r w:rsidR="00442FF6" w:rsidRPr="00941A37">
        <w:rPr>
          <w:szCs w:val="24"/>
        </w:rPr>
        <w:t xml:space="preserve">all the while, </w:t>
      </w:r>
      <w:r w:rsidR="00446A51" w:rsidRPr="00941A37">
        <w:rPr>
          <w:szCs w:val="24"/>
        </w:rPr>
        <w:t>this long history is not sufficient for continuing such an expectation</w:t>
      </w:r>
      <w:r w:rsidR="00DB4D3B" w:rsidRPr="00941A37">
        <w:rPr>
          <w:szCs w:val="24"/>
        </w:rPr>
        <w:t>.</w:t>
      </w:r>
      <w:r w:rsidR="00446A51" w:rsidRPr="00941A37">
        <w:rPr>
          <w:szCs w:val="24"/>
        </w:rPr>
        <w:t xml:space="preserve"> </w:t>
      </w:r>
      <w:r w:rsidR="000B64CF" w:rsidRPr="00941A37">
        <w:rPr>
          <w:szCs w:val="24"/>
        </w:rPr>
        <w:t>Indeed, s</w:t>
      </w:r>
      <w:r w:rsidR="00A469E5" w:rsidRPr="00941A37">
        <w:rPr>
          <w:szCs w:val="24"/>
        </w:rPr>
        <w:t xml:space="preserve">uch a belief is problematic when one considers the everyday importance of reasoning (through logic) and </w:t>
      </w:r>
      <w:r w:rsidR="00FC5488" w:rsidRPr="00941A37">
        <w:rPr>
          <w:szCs w:val="24"/>
        </w:rPr>
        <w:t xml:space="preserve">the </w:t>
      </w:r>
      <w:r w:rsidR="00A469E5" w:rsidRPr="00941A37">
        <w:rPr>
          <w:szCs w:val="24"/>
        </w:rPr>
        <w:t xml:space="preserve">lesser need for knowledge of rational functions. </w:t>
      </w:r>
      <w:r w:rsidR="00E97C11" w:rsidRPr="00941A37">
        <w:rPr>
          <w:szCs w:val="24"/>
        </w:rPr>
        <w:t>This</w:t>
      </w:r>
      <w:r w:rsidR="002475AD" w:rsidRPr="00941A37">
        <w:rPr>
          <w:szCs w:val="24"/>
        </w:rPr>
        <w:t xml:space="preserve"> begs the question of why we use the </w:t>
      </w:r>
      <w:r w:rsidR="00797F9C" w:rsidRPr="00941A37">
        <w:rPr>
          <w:szCs w:val="24"/>
        </w:rPr>
        <w:t xml:space="preserve">largely </w:t>
      </w:r>
      <w:r w:rsidR="002475AD" w:rsidRPr="00941A37">
        <w:rPr>
          <w:szCs w:val="24"/>
        </w:rPr>
        <w:t>unneeded subjec</w:t>
      </w:r>
      <w:r w:rsidR="00E97C11" w:rsidRPr="00941A37">
        <w:rPr>
          <w:szCs w:val="24"/>
        </w:rPr>
        <w:t>t as a proxy for the needed one</w:t>
      </w:r>
      <w:r w:rsidR="00CD1E2D" w:rsidRPr="00941A37">
        <w:rPr>
          <w:szCs w:val="24"/>
        </w:rPr>
        <w:t xml:space="preserve"> (assuming we desire to empower students with reason)</w:t>
      </w:r>
      <w:r w:rsidR="00E97C11" w:rsidRPr="00941A37">
        <w:rPr>
          <w:szCs w:val="24"/>
        </w:rPr>
        <w:t>.</w:t>
      </w:r>
      <w:r w:rsidR="002475AD" w:rsidRPr="00941A37">
        <w:rPr>
          <w:szCs w:val="24"/>
        </w:rPr>
        <w:t xml:space="preserve"> </w:t>
      </w:r>
      <w:r w:rsidR="00C6192C" w:rsidRPr="00941A37">
        <w:rPr>
          <w:szCs w:val="24"/>
        </w:rPr>
        <w:t xml:space="preserve">With that in mind, </w:t>
      </w:r>
      <w:r w:rsidR="00CC08D4" w:rsidRPr="00941A37">
        <w:rPr>
          <w:szCs w:val="24"/>
        </w:rPr>
        <w:t>Gibson’s recommendation is to incorporate more direct instruction in logic within school curricula</w:t>
      </w:r>
      <w:r w:rsidR="00182D0B" w:rsidRPr="00941A37">
        <w:rPr>
          <w:szCs w:val="24"/>
        </w:rPr>
        <w:t xml:space="preserve"> </w:t>
      </w:r>
      <w:r w:rsidR="00182D0B" w:rsidRPr="00941A37">
        <w:rPr>
          <w:i/>
          <w:szCs w:val="24"/>
        </w:rPr>
        <w:t xml:space="preserve">in favor of </w:t>
      </w:r>
      <w:r w:rsidR="00182D0B" w:rsidRPr="00941A37">
        <w:rPr>
          <w:szCs w:val="24"/>
        </w:rPr>
        <w:t xml:space="preserve">mathematics above </w:t>
      </w:r>
      <w:r w:rsidR="00880AFE" w:rsidRPr="00941A37">
        <w:rPr>
          <w:szCs w:val="24"/>
        </w:rPr>
        <w:t>that needed for quantitative literacy.</w:t>
      </w:r>
      <w:r w:rsidR="00C97FE5" w:rsidRPr="00941A37">
        <w:rPr>
          <w:szCs w:val="24"/>
        </w:rPr>
        <w:t xml:space="preserve"> </w:t>
      </w:r>
      <w:r w:rsidR="008824FA" w:rsidRPr="00941A37">
        <w:rPr>
          <w:szCs w:val="24"/>
        </w:rPr>
        <w:t>Clearly</w:t>
      </w:r>
      <w:r w:rsidR="00F20A93" w:rsidRPr="00941A37">
        <w:rPr>
          <w:szCs w:val="24"/>
        </w:rPr>
        <w:t>,</w:t>
      </w:r>
      <w:r w:rsidR="00B76046" w:rsidRPr="00941A37">
        <w:rPr>
          <w:szCs w:val="24"/>
        </w:rPr>
        <w:t xml:space="preserve"> Mumford (2006</w:t>
      </w:r>
      <w:r w:rsidR="008824FA" w:rsidRPr="00941A37">
        <w:rPr>
          <w:szCs w:val="24"/>
        </w:rPr>
        <w:t xml:space="preserve">) and Gibson (1986) have contrasting views. </w:t>
      </w:r>
      <w:r w:rsidR="00D9229C" w:rsidRPr="00941A37">
        <w:rPr>
          <w:szCs w:val="24"/>
        </w:rPr>
        <w:t xml:space="preserve">Using Brighouse’s </w:t>
      </w:r>
      <w:r w:rsidR="00F776CA" w:rsidRPr="00941A37">
        <w:rPr>
          <w:szCs w:val="24"/>
        </w:rPr>
        <w:t xml:space="preserve">(2006) conception of flourishing, </w:t>
      </w:r>
      <w:r w:rsidR="00EE3211" w:rsidRPr="00941A37">
        <w:rPr>
          <w:szCs w:val="24"/>
        </w:rPr>
        <w:t>I side with Gibson</w:t>
      </w:r>
      <w:r w:rsidR="0090582C" w:rsidRPr="00941A37">
        <w:rPr>
          <w:szCs w:val="24"/>
        </w:rPr>
        <w:t xml:space="preserve"> (1986)</w:t>
      </w:r>
      <w:r w:rsidR="00EE3211" w:rsidRPr="00941A37">
        <w:rPr>
          <w:szCs w:val="24"/>
        </w:rPr>
        <w:t xml:space="preserve"> </w:t>
      </w:r>
      <w:r w:rsidR="00F776CA" w:rsidRPr="00941A37">
        <w:rPr>
          <w:szCs w:val="24"/>
        </w:rPr>
        <w:t xml:space="preserve">while recognizing </w:t>
      </w:r>
      <w:r w:rsidR="0090582C" w:rsidRPr="00941A37">
        <w:rPr>
          <w:szCs w:val="24"/>
        </w:rPr>
        <w:t>the associated concern of its realism</w:t>
      </w:r>
      <w:r w:rsidR="00147884" w:rsidRPr="00941A37">
        <w:rPr>
          <w:szCs w:val="24"/>
        </w:rPr>
        <w:t xml:space="preserve"> in </w:t>
      </w:r>
      <w:r w:rsidR="00206361" w:rsidRPr="00941A37">
        <w:rPr>
          <w:szCs w:val="24"/>
        </w:rPr>
        <w:t>our</w:t>
      </w:r>
      <w:r w:rsidR="00147884" w:rsidRPr="00941A37">
        <w:rPr>
          <w:szCs w:val="24"/>
        </w:rPr>
        <w:t xml:space="preserve"> complex society</w:t>
      </w:r>
      <w:r w:rsidR="0090582C" w:rsidRPr="00941A37">
        <w:rPr>
          <w:szCs w:val="24"/>
        </w:rPr>
        <w:t>.</w:t>
      </w:r>
    </w:p>
    <w:p w:rsidR="006C1367" w:rsidRPr="00941A37" w:rsidRDefault="006C1367" w:rsidP="00941A37">
      <w:pPr>
        <w:spacing w:after="0" w:line="240" w:lineRule="auto"/>
        <w:ind w:firstLine="720"/>
        <w:jc w:val="both"/>
        <w:rPr>
          <w:szCs w:val="24"/>
        </w:rPr>
      </w:pPr>
    </w:p>
    <w:p w:rsidR="00C65D50" w:rsidRDefault="007F614E" w:rsidP="00941A37">
      <w:pPr>
        <w:spacing w:after="0" w:line="240" w:lineRule="auto"/>
        <w:jc w:val="both"/>
        <w:rPr>
          <w:szCs w:val="24"/>
        </w:rPr>
      </w:pPr>
      <w:r w:rsidRPr="00941A37">
        <w:rPr>
          <w:szCs w:val="24"/>
        </w:rPr>
        <w:tab/>
        <w:t xml:space="preserve">Flourishing in </w:t>
      </w:r>
      <w:r w:rsidR="003B2413" w:rsidRPr="00941A37">
        <w:rPr>
          <w:szCs w:val="24"/>
        </w:rPr>
        <w:t xml:space="preserve">our world </w:t>
      </w:r>
      <w:r w:rsidRPr="00941A37">
        <w:rPr>
          <w:szCs w:val="24"/>
        </w:rPr>
        <w:t xml:space="preserve">is a nontrivial endeavor. </w:t>
      </w:r>
      <w:r w:rsidR="0015372E" w:rsidRPr="00941A37">
        <w:rPr>
          <w:szCs w:val="24"/>
        </w:rPr>
        <w:t xml:space="preserve">I begin by seeing how mathematics connects to the objective goods </w:t>
      </w:r>
      <w:r w:rsidR="00ED564D" w:rsidRPr="00941A37">
        <w:rPr>
          <w:szCs w:val="24"/>
        </w:rPr>
        <w:t>of</w:t>
      </w:r>
      <w:r w:rsidR="0015372E" w:rsidRPr="00941A37">
        <w:rPr>
          <w:szCs w:val="24"/>
        </w:rPr>
        <w:t xml:space="preserve"> Brighouse’s (2006) framework for flourishing.</w:t>
      </w:r>
      <w:r w:rsidR="00DC1A4F" w:rsidRPr="00941A37">
        <w:rPr>
          <w:szCs w:val="24"/>
        </w:rPr>
        <w:t xml:space="preserve"> </w:t>
      </w:r>
      <w:r w:rsidR="00A84A4E" w:rsidRPr="00941A37">
        <w:rPr>
          <w:szCs w:val="24"/>
        </w:rPr>
        <w:t xml:space="preserve">Note that one </w:t>
      </w:r>
      <w:r w:rsidR="00DC1A4F" w:rsidRPr="00941A37">
        <w:rPr>
          <w:szCs w:val="24"/>
        </w:rPr>
        <w:t xml:space="preserve">may obtain objective </w:t>
      </w:r>
      <w:r w:rsidR="00E55999" w:rsidRPr="00941A37">
        <w:rPr>
          <w:szCs w:val="24"/>
        </w:rPr>
        <w:t xml:space="preserve">goods in a myriad of </w:t>
      </w:r>
      <w:proofErr w:type="gramStart"/>
      <w:r w:rsidR="00E55999" w:rsidRPr="00941A37">
        <w:rPr>
          <w:szCs w:val="24"/>
        </w:rPr>
        <w:t>ways</w:t>
      </w:r>
      <w:r w:rsidR="001E1D95" w:rsidRPr="00941A37">
        <w:rPr>
          <w:szCs w:val="24"/>
        </w:rPr>
        <w:t>,</w:t>
      </w:r>
      <w:proofErr w:type="gramEnd"/>
      <w:r w:rsidR="001E1D95" w:rsidRPr="00941A37">
        <w:rPr>
          <w:szCs w:val="24"/>
        </w:rPr>
        <w:t xml:space="preserve"> with the</w:t>
      </w:r>
      <w:r w:rsidR="00E55999" w:rsidRPr="00941A37">
        <w:rPr>
          <w:szCs w:val="24"/>
        </w:rPr>
        <w:t xml:space="preserve"> most significant that connect to mathematics </w:t>
      </w:r>
      <w:r w:rsidR="001E1D95" w:rsidRPr="00941A37">
        <w:rPr>
          <w:szCs w:val="24"/>
        </w:rPr>
        <w:t>b</w:t>
      </w:r>
      <w:r w:rsidR="00E55999" w:rsidRPr="00941A37">
        <w:rPr>
          <w:szCs w:val="24"/>
        </w:rPr>
        <w:t>e</w:t>
      </w:r>
      <w:r w:rsidR="001E1D95" w:rsidRPr="00941A37">
        <w:rPr>
          <w:szCs w:val="24"/>
        </w:rPr>
        <w:t>ing</w:t>
      </w:r>
      <w:r w:rsidR="00E55999" w:rsidRPr="00941A37">
        <w:rPr>
          <w:szCs w:val="24"/>
        </w:rPr>
        <w:t xml:space="preserve"> </w:t>
      </w:r>
      <w:r w:rsidR="00B00110" w:rsidRPr="00941A37">
        <w:rPr>
          <w:szCs w:val="24"/>
        </w:rPr>
        <w:t xml:space="preserve">the </w:t>
      </w:r>
      <w:r w:rsidR="00643E03" w:rsidRPr="00941A37">
        <w:rPr>
          <w:szCs w:val="24"/>
        </w:rPr>
        <w:t xml:space="preserve">remunerated work that brings about </w:t>
      </w:r>
      <w:r w:rsidR="00E55999" w:rsidRPr="00941A37">
        <w:rPr>
          <w:szCs w:val="24"/>
        </w:rPr>
        <w:t>material goods</w:t>
      </w:r>
      <w:r w:rsidR="00154F9A" w:rsidRPr="00941A37">
        <w:rPr>
          <w:szCs w:val="24"/>
        </w:rPr>
        <w:t xml:space="preserve">. </w:t>
      </w:r>
      <w:r w:rsidR="00A41624" w:rsidRPr="00941A37">
        <w:rPr>
          <w:szCs w:val="24"/>
        </w:rPr>
        <w:t>It</w:t>
      </w:r>
      <w:r w:rsidR="00154F9A" w:rsidRPr="00941A37">
        <w:rPr>
          <w:szCs w:val="24"/>
        </w:rPr>
        <w:t xml:space="preserve"> is fair to claim that mathematics is only necessary for remunerated work insofar as </w:t>
      </w:r>
      <w:r w:rsidR="00CF67B8" w:rsidRPr="00941A37">
        <w:rPr>
          <w:szCs w:val="24"/>
        </w:rPr>
        <w:t>such work</w:t>
      </w:r>
      <w:r w:rsidR="00785B4C" w:rsidRPr="00941A37">
        <w:rPr>
          <w:szCs w:val="24"/>
        </w:rPr>
        <w:t xml:space="preserve"> requires mathematics; while that</w:t>
      </w:r>
      <w:r w:rsidR="00A41624" w:rsidRPr="00941A37">
        <w:rPr>
          <w:szCs w:val="24"/>
        </w:rPr>
        <w:t xml:space="preserve"> point may seem redundant</w:t>
      </w:r>
      <w:r w:rsidR="00541B10" w:rsidRPr="00941A37">
        <w:rPr>
          <w:szCs w:val="24"/>
        </w:rPr>
        <w:t xml:space="preserve"> </w:t>
      </w:r>
      <w:r w:rsidR="00A41624" w:rsidRPr="00941A37">
        <w:rPr>
          <w:szCs w:val="24"/>
        </w:rPr>
        <w:t>(indeed it is)</w:t>
      </w:r>
      <w:r w:rsidR="00E71C54" w:rsidRPr="00941A37">
        <w:rPr>
          <w:szCs w:val="24"/>
        </w:rPr>
        <w:t>, many</w:t>
      </w:r>
      <w:r w:rsidR="00E71C54" w:rsidRPr="00941A37">
        <w:rPr>
          <w:i/>
          <w:szCs w:val="24"/>
        </w:rPr>
        <w:t xml:space="preserve"> </w:t>
      </w:r>
      <w:r w:rsidR="00E71C54" w:rsidRPr="00941A37">
        <w:rPr>
          <w:szCs w:val="24"/>
        </w:rPr>
        <w:t>careers with little mathematics involved require post-secondary degrees that do. To boot,</w:t>
      </w:r>
      <w:r w:rsidR="00E14602" w:rsidRPr="00941A37">
        <w:rPr>
          <w:szCs w:val="24"/>
        </w:rPr>
        <w:t xml:space="preserve"> in many countries,</w:t>
      </w:r>
      <w:r w:rsidR="00E71C54" w:rsidRPr="00941A37">
        <w:rPr>
          <w:szCs w:val="24"/>
        </w:rPr>
        <w:t xml:space="preserve"> to even enter post-secondary education</w:t>
      </w:r>
      <w:r w:rsidR="00E14602" w:rsidRPr="00941A37">
        <w:rPr>
          <w:szCs w:val="24"/>
        </w:rPr>
        <w:t xml:space="preserve"> one must submit—and often perform well on—standardized tests that include mathematical content. </w:t>
      </w:r>
      <w:r w:rsidR="004128B3" w:rsidRPr="00941A37">
        <w:rPr>
          <w:szCs w:val="24"/>
        </w:rPr>
        <w:t xml:space="preserve">This phenomenon is largely the result of, as discussed earlier, our belief that mathematics is a </w:t>
      </w:r>
      <w:r w:rsidR="00C65D47" w:rsidRPr="00941A37">
        <w:rPr>
          <w:szCs w:val="24"/>
        </w:rPr>
        <w:t>surrogate for rationality</w:t>
      </w:r>
      <w:r w:rsidR="00570948" w:rsidRPr="00941A37">
        <w:rPr>
          <w:szCs w:val="24"/>
        </w:rPr>
        <w:t xml:space="preserve"> (Gibson, 1986)</w:t>
      </w:r>
      <w:r w:rsidR="00C65D47" w:rsidRPr="00941A37">
        <w:rPr>
          <w:szCs w:val="24"/>
        </w:rPr>
        <w:t xml:space="preserve">, as well as the </w:t>
      </w:r>
      <w:r w:rsidR="00570948" w:rsidRPr="00941A37">
        <w:rPr>
          <w:szCs w:val="24"/>
        </w:rPr>
        <w:t>related belief that traditional mathematics courses cultivate quantitative literacy (</w:t>
      </w:r>
      <w:r w:rsidR="000C76F7" w:rsidRPr="00941A37">
        <w:rPr>
          <w:szCs w:val="24"/>
        </w:rPr>
        <w:t>Madison, 2003</w:t>
      </w:r>
      <w:r w:rsidR="00570948" w:rsidRPr="00941A37">
        <w:rPr>
          <w:szCs w:val="24"/>
        </w:rPr>
        <w:t xml:space="preserve">). </w:t>
      </w:r>
      <w:r w:rsidR="000C0224" w:rsidRPr="00941A37">
        <w:rPr>
          <w:szCs w:val="24"/>
        </w:rPr>
        <w:t xml:space="preserve">Both of these beliefs are problematic, </w:t>
      </w:r>
      <w:r w:rsidR="003F55AB" w:rsidRPr="00941A37">
        <w:rPr>
          <w:szCs w:val="24"/>
        </w:rPr>
        <w:t xml:space="preserve">though a </w:t>
      </w:r>
      <w:r w:rsidR="000C0224" w:rsidRPr="00941A37">
        <w:rPr>
          <w:szCs w:val="24"/>
        </w:rPr>
        <w:t>full argument for this claim</w:t>
      </w:r>
      <w:r w:rsidR="00F05CA8" w:rsidRPr="00941A37">
        <w:rPr>
          <w:szCs w:val="24"/>
        </w:rPr>
        <w:t xml:space="preserve"> is</w:t>
      </w:r>
      <w:r w:rsidR="000C0224" w:rsidRPr="00941A37">
        <w:rPr>
          <w:szCs w:val="24"/>
        </w:rPr>
        <w:t xml:space="preserve"> beyond the scope of this paper.</w:t>
      </w:r>
      <w:r w:rsidR="00C855A3" w:rsidRPr="00941A37">
        <w:rPr>
          <w:szCs w:val="24"/>
        </w:rPr>
        <w:t xml:space="preserve"> </w:t>
      </w:r>
      <w:r w:rsidR="00427A32" w:rsidRPr="00941A37">
        <w:rPr>
          <w:szCs w:val="24"/>
        </w:rPr>
        <w:t>Nonetheless, the conclusion I draw from</w:t>
      </w:r>
      <w:r w:rsidR="00C855A3" w:rsidRPr="00941A37">
        <w:rPr>
          <w:szCs w:val="24"/>
        </w:rPr>
        <w:t xml:space="preserve"> this is that </w:t>
      </w:r>
      <w:r w:rsidR="00427A32" w:rsidRPr="00941A37">
        <w:rPr>
          <w:szCs w:val="24"/>
        </w:rPr>
        <w:t xml:space="preserve">for careers that require no more mathematics than that demanded of quantitative </w:t>
      </w:r>
      <w:r w:rsidR="005C5586" w:rsidRPr="00941A37">
        <w:rPr>
          <w:szCs w:val="24"/>
        </w:rPr>
        <w:t>literacy—i.e., the content found up to grade seven</w:t>
      </w:r>
      <w:r w:rsidR="0094696D" w:rsidRPr="00941A37">
        <w:rPr>
          <w:szCs w:val="24"/>
        </w:rPr>
        <w:t xml:space="preserve"> in most countries</w:t>
      </w:r>
      <w:r w:rsidR="005C5586" w:rsidRPr="00941A37">
        <w:rPr>
          <w:szCs w:val="24"/>
        </w:rPr>
        <w:t xml:space="preserve">—the mathematics learned beyond such a grade is of </w:t>
      </w:r>
      <w:r w:rsidR="00F5065B" w:rsidRPr="00941A37">
        <w:rPr>
          <w:szCs w:val="24"/>
        </w:rPr>
        <w:t>little</w:t>
      </w:r>
      <w:r w:rsidR="005C5586" w:rsidRPr="00941A37">
        <w:rPr>
          <w:szCs w:val="24"/>
        </w:rPr>
        <w:t xml:space="preserve"> use for students</w:t>
      </w:r>
      <w:r w:rsidR="00B66B4C" w:rsidRPr="00941A37">
        <w:rPr>
          <w:szCs w:val="24"/>
        </w:rPr>
        <w:t xml:space="preserve"> in everyday life and work</w:t>
      </w:r>
      <w:r w:rsidR="00F5065B" w:rsidRPr="00941A37">
        <w:rPr>
          <w:szCs w:val="24"/>
        </w:rPr>
        <w:t xml:space="preserve"> (Hughes-Hallett, 2003)</w:t>
      </w:r>
      <w:r w:rsidR="005C5586" w:rsidRPr="00941A37">
        <w:rPr>
          <w:szCs w:val="24"/>
        </w:rPr>
        <w:t xml:space="preserve">. </w:t>
      </w:r>
      <w:r w:rsidR="00652DC8" w:rsidRPr="00941A37">
        <w:rPr>
          <w:szCs w:val="24"/>
        </w:rPr>
        <w:t xml:space="preserve">We should cultivate sophisticated reasoning using elementary mathematics throughout students’ coursework following grade </w:t>
      </w:r>
      <w:r w:rsidR="00652DC8" w:rsidRPr="00941A37">
        <w:rPr>
          <w:szCs w:val="24"/>
        </w:rPr>
        <w:lastRenderedPageBreak/>
        <w:t>seven; however, such an endeavor should be interdisciplinary</w:t>
      </w:r>
      <w:r w:rsidR="00F101B3" w:rsidRPr="00941A37">
        <w:rPr>
          <w:szCs w:val="24"/>
        </w:rPr>
        <w:t xml:space="preserve"> (Steele &amp; </w:t>
      </w:r>
      <w:proofErr w:type="spellStart"/>
      <w:r w:rsidR="00F101B3" w:rsidRPr="00941A37">
        <w:rPr>
          <w:szCs w:val="24"/>
        </w:rPr>
        <w:t>Kilic-Bahi</w:t>
      </w:r>
      <w:proofErr w:type="spellEnd"/>
      <w:r w:rsidR="00F101B3" w:rsidRPr="00941A37">
        <w:rPr>
          <w:szCs w:val="24"/>
        </w:rPr>
        <w:t>, 2008)</w:t>
      </w:r>
      <w:r w:rsidR="00652DC8" w:rsidRPr="00941A37">
        <w:rPr>
          <w:szCs w:val="24"/>
        </w:rPr>
        <w:t>. This implies that mathematics not be absent from the curriculum after grade seven, but that we integrate it in meaningful ways across other disciplines. Now, f</w:t>
      </w:r>
      <w:r w:rsidR="003072B9" w:rsidRPr="00941A37">
        <w:rPr>
          <w:szCs w:val="24"/>
        </w:rPr>
        <w:t xml:space="preserve">or those individuals who pursue careers </w:t>
      </w:r>
      <w:r w:rsidR="003963A0" w:rsidRPr="00941A37">
        <w:rPr>
          <w:szCs w:val="24"/>
        </w:rPr>
        <w:t>which</w:t>
      </w:r>
      <w:r w:rsidR="003072B9" w:rsidRPr="00941A37">
        <w:rPr>
          <w:szCs w:val="24"/>
        </w:rPr>
        <w:t xml:space="preserve"> necessitate more mathematics</w:t>
      </w:r>
      <w:r w:rsidR="004645CE" w:rsidRPr="00941A37">
        <w:rPr>
          <w:szCs w:val="24"/>
        </w:rPr>
        <w:t xml:space="preserve">, it seems sensible to expect them to learn such content during their schooling; all the while, </w:t>
      </w:r>
      <w:r w:rsidR="00AF2B9B" w:rsidRPr="00941A37">
        <w:rPr>
          <w:szCs w:val="24"/>
        </w:rPr>
        <w:t xml:space="preserve">to expect </w:t>
      </w:r>
      <w:r w:rsidR="004645CE" w:rsidRPr="00941A37">
        <w:rPr>
          <w:szCs w:val="24"/>
        </w:rPr>
        <w:t>the other portion of the population—which in 201</w:t>
      </w:r>
      <w:r w:rsidR="009E1287" w:rsidRPr="00941A37">
        <w:rPr>
          <w:szCs w:val="24"/>
        </w:rPr>
        <w:t>2</w:t>
      </w:r>
      <w:r w:rsidR="004645CE" w:rsidRPr="00941A37">
        <w:rPr>
          <w:szCs w:val="24"/>
        </w:rPr>
        <w:t xml:space="preserve"> was roughly 91% of U.S. college students</w:t>
      </w:r>
      <w:r w:rsidR="00265D24" w:rsidRPr="00941A37">
        <w:rPr>
          <w:szCs w:val="24"/>
        </w:rPr>
        <w:t xml:space="preserve"> (Snyder &amp; </w:t>
      </w:r>
      <w:proofErr w:type="spellStart"/>
      <w:r w:rsidR="00265D24" w:rsidRPr="00941A37">
        <w:rPr>
          <w:szCs w:val="24"/>
        </w:rPr>
        <w:t>Dillow</w:t>
      </w:r>
      <w:proofErr w:type="spellEnd"/>
      <w:r w:rsidR="00265D24" w:rsidRPr="00941A37">
        <w:rPr>
          <w:szCs w:val="24"/>
        </w:rPr>
        <w:t>, 2013)</w:t>
      </w:r>
      <w:r w:rsidR="004645CE" w:rsidRPr="00941A37">
        <w:rPr>
          <w:szCs w:val="24"/>
        </w:rPr>
        <w:t xml:space="preserve">—to sit through similar courses, is neither practical nor </w:t>
      </w:r>
      <w:r w:rsidR="00C57661" w:rsidRPr="00941A37">
        <w:rPr>
          <w:szCs w:val="24"/>
        </w:rPr>
        <w:t xml:space="preserve">fair to their interests. </w:t>
      </w:r>
      <w:r w:rsidR="003D61AF" w:rsidRPr="00941A37">
        <w:rPr>
          <w:szCs w:val="24"/>
        </w:rPr>
        <w:t xml:space="preserve">They should be able to acquire objective goods without </w:t>
      </w:r>
      <w:r w:rsidR="00BA0C04" w:rsidRPr="00941A37">
        <w:rPr>
          <w:szCs w:val="24"/>
        </w:rPr>
        <w:t xml:space="preserve">advanced </w:t>
      </w:r>
      <w:r w:rsidR="003D61AF" w:rsidRPr="00941A37">
        <w:rPr>
          <w:szCs w:val="24"/>
        </w:rPr>
        <w:t xml:space="preserve">mathematical knowledge. </w:t>
      </w:r>
    </w:p>
    <w:p w:rsidR="006C1367" w:rsidRPr="00941A37" w:rsidRDefault="006C1367" w:rsidP="00941A37">
      <w:pPr>
        <w:spacing w:after="0" w:line="240" w:lineRule="auto"/>
        <w:jc w:val="both"/>
        <w:rPr>
          <w:szCs w:val="24"/>
        </w:rPr>
      </w:pPr>
    </w:p>
    <w:p w:rsidR="00DE4CBC" w:rsidRDefault="00851687" w:rsidP="00941A37">
      <w:pPr>
        <w:spacing w:after="0" w:line="240" w:lineRule="auto"/>
        <w:jc w:val="both"/>
        <w:rPr>
          <w:szCs w:val="24"/>
        </w:rPr>
      </w:pPr>
      <w:r w:rsidRPr="00941A37">
        <w:rPr>
          <w:szCs w:val="24"/>
        </w:rPr>
        <w:tab/>
        <w:t xml:space="preserve">The second component of </w:t>
      </w:r>
      <w:r w:rsidR="000F35BC" w:rsidRPr="00941A37">
        <w:rPr>
          <w:szCs w:val="24"/>
        </w:rPr>
        <w:t xml:space="preserve">Brighouse’s (2006) framework for </w:t>
      </w:r>
      <w:r w:rsidRPr="00941A37">
        <w:rPr>
          <w:szCs w:val="24"/>
        </w:rPr>
        <w:t>flourishing, living a life aligned with one’</w:t>
      </w:r>
      <w:r w:rsidR="0085334F" w:rsidRPr="00941A37">
        <w:rPr>
          <w:szCs w:val="24"/>
        </w:rPr>
        <w:t xml:space="preserve">s inner desires, dictates that </w:t>
      </w:r>
      <w:r w:rsidR="00747E5E" w:rsidRPr="00941A37">
        <w:rPr>
          <w:szCs w:val="24"/>
        </w:rPr>
        <w:t xml:space="preserve">one be able to pursue their </w:t>
      </w:r>
      <w:r w:rsidR="007A281B" w:rsidRPr="00941A37">
        <w:rPr>
          <w:szCs w:val="24"/>
        </w:rPr>
        <w:t>interests.</w:t>
      </w:r>
      <w:r w:rsidR="0085334F" w:rsidRPr="00941A37">
        <w:rPr>
          <w:szCs w:val="24"/>
        </w:rPr>
        <w:t xml:space="preserve"> On an “extreme” level, this means that an Amish child be able to choose a different lifestyle as</w:t>
      </w:r>
      <w:r w:rsidR="0089613F" w:rsidRPr="00941A37">
        <w:rPr>
          <w:szCs w:val="24"/>
        </w:rPr>
        <w:t xml:space="preserve"> she or he</w:t>
      </w:r>
      <w:r w:rsidR="0085334F" w:rsidRPr="00941A37">
        <w:rPr>
          <w:szCs w:val="24"/>
        </w:rPr>
        <w:t xml:space="preserve"> grow</w:t>
      </w:r>
      <w:r w:rsidR="0089613F" w:rsidRPr="00941A37">
        <w:rPr>
          <w:szCs w:val="24"/>
        </w:rPr>
        <w:t>s</w:t>
      </w:r>
      <w:r w:rsidR="0085334F" w:rsidRPr="00941A37">
        <w:rPr>
          <w:szCs w:val="24"/>
        </w:rPr>
        <w:t xml:space="preserve"> older (</w:t>
      </w:r>
      <w:proofErr w:type="spellStart"/>
      <w:r w:rsidR="000C76F7" w:rsidRPr="00941A37">
        <w:rPr>
          <w:szCs w:val="24"/>
        </w:rPr>
        <w:t>Brighouse</w:t>
      </w:r>
      <w:proofErr w:type="spellEnd"/>
      <w:r w:rsidR="000C76F7" w:rsidRPr="00941A37">
        <w:rPr>
          <w:szCs w:val="24"/>
        </w:rPr>
        <w:t>, 2006</w:t>
      </w:r>
      <w:r w:rsidR="0085334F" w:rsidRPr="00941A37">
        <w:rPr>
          <w:szCs w:val="24"/>
        </w:rPr>
        <w:t>); more mundane</w:t>
      </w:r>
      <w:r w:rsidR="00D65D84" w:rsidRPr="00941A37">
        <w:rPr>
          <w:szCs w:val="24"/>
        </w:rPr>
        <w:t>, but applicable to this argument,</w:t>
      </w:r>
      <w:r w:rsidR="0085334F" w:rsidRPr="00941A37">
        <w:rPr>
          <w:szCs w:val="24"/>
        </w:rPr>
        <w:t xml:space="preserve"> is that students be able to </w:t>
      </w:r>
      <w:r w:rsidR="00580EAE" w:rsidRPr="00941A37">
        <w:rPr>
          <w:szCs w:val="24"/>
        </w:rPr>
        <w:t>take coursework in subjects of their choice.</w:t>
      </w:r>
      <w:r w:rsidR="00872B4E" w:rsidRPr="00941A37">
        <w:rPr>
          <w:szCs w:val="24"/>
        </w:rPr>
        <w:t xml:space="preserve"> </w:t>
      </w:r>
      <w:r w:rsidR="00580EAE" w:rsidRPr="00941A37">
        <w:rPr>
          <w:szCs w:val="24"/>
        </w:rPr>
        <w:t>C</w:t>
      </w:r>
      <w:r w:rsidR="00872B4E" w:rsidRPr="00941A37">
        <w:rPr>
          <w:szCs w:val="24"/>
        </w:rPr>
        <w:t xml:space="preserve">oursework in </w:t>
      </w:r>
      <w:r w:rsidR="00580EAE" w:rsidRPr="00941A37">
        <w:rPr>
          <w:szCs w:val="24"/>
        </w:rPr>
        <w:t xml:space="preserve">mathematics is readily offered by most schools, though its </w:t>
      </w:r>
      <w:r w:rsidR="00074AF2" w:rsidRPr="00941A37">
        <w:rPr>
          <w:szCs w:val="24"/>
        </w:rPr>
        <w:t xml:space="preserve">equitable </w:t>
      </w:r>
      <w:r w:rsidR="003F1E72" w:rsidRPr="00941A37">
        <w:rPr>
          <w:szCs w:val="24"/>
        </w:rPr>
        <w:t>accessibility</w:t>
      </w:r>
      <w:r w:rsidR="00074AF2" w:rsidRPr="00941A37">
        <w:rPr>
          <w:szCs w:val="24"/>
        </w:rPr>
        <w:t xml:space="preserve"> is highly contentious</w:t>
      </w:r>
      <w:r w:rsidR="0026178E" w:rsidRPr="00941A37">
        <w:rPr>
          <w:szCs w:val="24"/>
        </w:rPr>
        <w:t xml:space="preserve"> </w:t>
      </w:r>
      <w:r w:rsidR="00580EAE" w:rsidRPr="00941A37">
        <w:rPr>
          <w:szCs w:val="24"/>
        </w:rPr>
        <w:t>(</w:t>
      </w:r>
      <w:r w:rsidR="00074AF2" w:rsidRPr="00941A37">
        <w:rPr>
          <w:szCs w:val="24"/>
        </w:rPr>
        <w:t>Berry, 2008</w:t>
      </w:r>
      <w:r w:rsidR="007742CB" w:rsidRPr="00941A37">
        <w:rPr>
          <w:szCs w:val="24"/>
        </w:rPr>
        <w:t>). All the while</w:t>
      </w:r>
      <w:r w:rsidR="00580EAE" w:rsidRPr="00941A37">
        <w:rPr>
          <w:szCs w:val="24"/>
        </w:rPr>
        <w:t xml:space="preserve">, students are significantly less likely to be able to focus on courses in subjects such as art, geography, or sociology, among </w:t>
      </w:r>
      <w:r w:rsidR="00DE4CBC" w:rsidRPr="00941A37">
        <w:rPr>
          <w:szCs w:val="24"/>
        </w:rPr>
        <w:t xml:space="preserve">many </w:t>
      </w:r>
      <w:r w:rsidR="00580EAE" w:rsidRPr="00941A37">
        <w:rPr>
          <w:szCs w:val="24"/>
        </w:rPr>
        <w:t>others</w:t>
      </w:r>
      <w:r w:rsidR="00BE3ABD" w:rsidRPr="00941A37">
        <w:rPr>
          <w:szCs w:val="24"/>
        </w:rPr>
        <w:t xml:space="preserve">, should they </w:t>
      </w:r>
      <w:r w:rsidR="00186A85" w:rsidRPr="00941A37">
        <w:rPr>
          <w:szCs w:val="24"/>
        </w:rPr>
        <w:t>desire</w:t>
      </w:r>
      <w:r w:rsidR="00BE3ABD" w:rsidRPr="00941A37">
        <w:rPr>
          <w:szCs w:val="24"/>
        </w:rPr>
        <w:t xml:space="preserve"> to do so</w:t>
      </w:r>
      <w:r w:rsidR="00580EAE" w:rsidRPr="00941A37">
        <w:rPr>
          <w:szCs w:val="24"/>
        </w:rPr>
        <w:t xml:space="preserve">. </w:t>
      </w:r>
      <w:r w:rsidR="00991F3D" w:rsidRPr="00941A37">
        <w:rPr>
          <w:szCs w:val="24"/>
        </w:rPr>
        <w:t xml:space="preserve">Given my earlier claim that students ultimately pursuing disciplines that require only quantitative literacy (if that), this is an area in which schools can develop, assuming their aim is to help students flourish. </w:t>
      </w:r>
    </w:p>
    <w:p w:rsidR="006C1367" w:rsidRPr="00941A37" w:rsidRDefault="006C1367" w:rsidP="00941A37">
      <w:pPr>
        <w:spacing w:after="0" w:line="240" w:lineRule="auto"/>
        <w:jc w:val="both"/>
        <w:rPr>
          <w:szCs w:val="24"/>
        </w:rPr>
      </w:pPr>
    </w:p>
    <w:p w:rsidR="00187A07" w:rsidRDefault="00DE4CBC" w:rsidP="00941A37">
      <w:pPr>
        <w:spacing w:after="0" w:line="240" w:lineRule="auto"/>
        <w:jc w:val="both"/>
        <w:rPr>
          <w:szCs w:val="24"/>
        </w:rPr>
      </w:pPr>
      <w:r w:rsidRPr="00941A37">
        <w:rPr>
          <w:szCs w:val="24"/>
        </w:rPr>
        <w:tab/>
      </w:r>
      <w:r w:rsidR="00FB320F" w:rsidRPr="00941A37">
        <w:rPr>
          <w:szCs w:val="24"/>
        </w:rPr>
        <w:t>My</w:t>
      </w:r>
      <w:r w:rsidRPr="00941A37">
        <w:rPr>
          <w:szCs w:val="24"/>
        </w:rPr>
        <w:t xml:space="preserve"> </w:t>
      </w:r>
      <w:r w:rsidR="00B75926" w:rsidRPr="00941A37">
        <w:rPr>
          <w:szCs w:val="24"/>
        </w:rPr>
        <w:t>thesis</w:t>
      </w:r>
      <w:r w:rsidR="00F6198F" w:rsidRPr="00941A37">
        <w:rPr>
          <w:szCs w:val="24"/>
        </w:rPr>
        <w:t xml:space="preserve">—that </w:t>
      </w:r>
      <w:r w:rsidR="00E360C1" w:rsidRPr="00941A37">
        <w:rPr>
          <w:szCs w:val="24"/>
        </w:rPr>
        <w:t>the curriculum in most countries</w:t>
      </w:r>
      <w:r w:rsidR="00F6198F" w:rsidRPr="00941A37">
        <w:rPr>
          <w:szCs w:val="24"/>
        </w:rPr>
        <w:t xml:space="preserve"> </w:t>
      </w:r>
      <w:r w:rsidR="00000ED8" w:rsidRPr="00941A37">
        <w:rPr>
          <w:szCs w:val="24"/>
        </w:rPr>
        <w:t>requires too much mathematics of students—</w:t>
      </w:r>
      <w:r w:rsidR="00B75926" w:rsidRPr="00941A37">
        <w:rPr>
          <w:szCs w:val="24"/>
        </w:rPr>
        <w:t xml:space="preserve">rests on the assumption that the primary aim of schools should be to help </w:t>
      </w:r>
      <w:r w:rsidR="005303E7" w:rsidRPr="00941A37">
        <w:rPr>
          <w:szCs w:val="24"/>
        </w:rPr>
        <w:t xml:space="preserve">students to </w:t>
      </w:r>
      <w:r w:rsidR="00B75926" w:rsidRPr="00941A37">
        <w:rPr>
          <w:szCs w:val="24"/>
        </w:rPr>
        <w:t>acquire objective goods and to lead lives on their own terms. The lat</w:t>
      </w:r>
      <w:r w:rsidR="002D2983" w:rsidRPr="00941A37">
        <w:rPr>
          <w:szCs w:val="24"/>
        </w:rPr>
        <w:t xml:space="preserve">ter, as I have argued, </w:t>
      </w:r>
      <w:r w:rsidR="00B75926" w:rsidRPr="00941A37">
        <w:rPr>
          <w:szCs w:val="24"/>
        </w:rPr>
        <w:t>suggests that students take as much or as little mathematics as they desire to</w:t>
      </w:r>
      <w:r w:rsidR="00CF7E62" w:rsidRPr="00941A37">
        <w:rPr>
          <w:szCs w:val="24"/>
        </w:rPr>
        <w:t xml:space="preserve"> – at least after grade seven</w:t>
      </w:r>
      <w:r w:rsidR="00B75926" w:rsidRPr="00941A37">
        <w:rPr>
          <w:szCs w:val="24"/>
        </w:rPr>
        <w:t xml:space="preserve">. </w:t>
      </w:r>
      <w:r w:rsidR="00523792" w:rsidRPr="00941A37">
        <w:rPr>
          <w:szCs w:val="24"/>
        </w:rPr>
        <w:t xml:space="preserve">The former component—the acquisition of objective goods such </w:t>
      </w:r>
      <w:r w:rsidR="009E4B4F" w:rsidRPr="00941A37">
        <w:rPr>
          <w:szCs w:val="24"/>
        </w:rPr>
        <w:t>as friends, material items, or love</w:t>
      </w:r>
      <w:r w:rsidR="00523792" w:rsidRPr="00941A37">
        <w:rPr>
          <w:szCs w:val="24"/>
        </w:rPr>
        <w:t>—</w:t>
      </w:r>
      <w:r w:rsidR="007E3604" w:rsidRPr="00941A37">
        <w:rPr>
          <w:szCs w:val="24"/>
        </w:rPr>
        <w:t xml:space="preserve">requires mathematics only insofar as one’s career does. </w:t>
      </w:r>
      <w:r w:rsidR="00CF7E62" w:rsidRPr="00941A37">
        <w:rPr>
          <w:szCs w:val="24"/>
        </w:rPr>
        <w:t>Sidestepping the problematic assumption that mathematics is a proxy for critic</w:t>
      </w:r>
      <w:r w:rsidR="008E401B" w:rsidRPr="00941A37">
        <w:rPr>
          <w:szCs w:val="24"/>
        </w:rPr>
        <w:t xml:space="preserve">al thinking and problem-solving, I argue that because most careers require no more mathematics than that demanded of a quantitative literate individual, it is unpractical to force all students through the same barrage of coursework. </w:t>
      </w:r>
      <w:r w:rsidR="00147414" w:rsidRPr="00941A37">
        <w:rPr>
          <w:szCs w:val="24"/>
        </w:rPr>
        <w:t>Such</w:t>
      </w:r>
      <w:r w:rsidR="00023B11" w:rsidRPr="00941A37">
        <w:rPr>
          <w:szCs w:val="24"/>
        </w:rPr>
        <w:t xml:space="preserve"> time spent learning mathematics is necessarily less time spent learning material of one’s interest. </w:t>
      </w:r>
      <w:r w:rsidR="009B653F" w:rsidRPr="00941A37">
        <w:rPr>
          <w:szCs w:val="24"/>
        </w:rPr>
        <w:t>With</w:t>
      </w:r>
      <w:r w:rsidR="00FB320F" w:rsidRPr="00941A37">
        <w:rPr>
          <w:szCs w:val="24"/>
        </w:rPr>
        <w:t xml:space="preserve"> all of this written, I recognize the inherent complexities and issues embedded within my argument. </w:t>
      </w:r>
      <w:r w:rsidR="00A96FED" w:rsidRPr="00941A37">
        <w:rPr>
          <w:szCs w:val="24"/>
        </w:rPr>
        <w:t>Indeed, I do not mean to</w:t>
      </w:r>
      <w:r w:rsidR="00C57661" w:rsidRPr="00941A37">
        <w:rPr>
          <w:szCs w:val="24"/>
        </w:rPr>
        <w:t xml:space="preserve"> suggest </w:t>
      </w:r>
      <w:r w:rsidR="00A96FED" w:rsidRPr="00941A37">
        <w:rPr>
          <w:szCs w:val="24"/>
        </w:rPr>
        <w:t>we resort</w:t>
      </w:r>
      <w:r w:rsidR="00C57661" w:rsidRPr="00941A37">
        <w:rPr>
          <w:szCs w:val="24"/>
        </w:rPr>
        <w:t xml:space="preserve"> back to the problematic practice of tracking</w:t>
      </w:r>
      <w:r w:rsidR="00A96FED" w:rsidRPr="00941A37">
        <w:rPr>
          <w:szCs w:val="24"/>
        </w:rPr>
        <w:t xml:space="preserve"> within schools</w:t>
      </w:r>
      <w:r w:rsidR="00C57661" w:rsidRPr="00941A37">
        <w:rPr>
          <w:szCs w:val="24"/>
        </w:rPr>
        <w:t xml:space="preserve">. </w:t>
      </w:r>
      <w:r w:rsidR="00A96FED" w:rsidRPr="00941A37">
        <w:rPr>
          <w:szCs w:val="24"/>
        </w:rPr>
        <w:t xml:space="preserve">All the while, </w:t>
      </w:r>
      <w:r w:rsidR="00AE7EFC" w:rsidRPr="00941A37">
        <w:rPr>
          <w:szCs w:val="24"/>
        </w:rPr>
        <w:t xml:space="preserve">the current practices we see are fundamentally incongruous with empowering students to flourish. The status </w:t>
      </w:r>
      <w:r w:rsidR="004343C6" w:rsidRPr="00941A37">
        <w:rPr>
          <w:szCs w:val="24"/>
        </w:rPr>
        <w:t>quo mathematics curriculum does not empower the 91% alluded to above to effectively deal with quantities in our world “awash with numbers” (</w:t>
      </w:r>
      <w:r w:rsidR="000C76F7" w:rsidRPr="00941A37">
        <w:rPr>
          <w:szCs w:val="24"/>
        </w:rPr>
        <w:t>Steen, 2001, p. 1</w:t>
      </w:r>
      <w:r w:rsidR="004343C6" w:rsidRPr="00941A37">
        <w:rPr>
          <w:szCs w:val="24"/>
        </w:rPr>
        <w:t xml:space="preserve">). </w:t>
      </w:r>
      <w:r w:rsidR="00AE7EFC" w:rsidRPr="00941A37">
        <w:rPr>
          <w:szCs w:val="24"/>
        </w:rPr>
        <w:t>I encourage educators and policy-makers to critically reflect on o</w:t>
      </w:r>
      <w:r w:rsidR="000C76F7" w:rsidRPr="00941A37">
        <w:rPr>
          <w:szCs w:val="24"/>
        </w:rPr>
        <w:t>ur complicity in the matter, as—</w:t>
      </w:r>
      <w:r w:rsidR="00AE7EFC" w:rsidRPr="00941A37">
        <w:rPr>
          <w:szCs w:val="24"/>
        </w:rPr>
        <w:t xml:space="preserve">albeit </w:t>
      </w:r>
      <w:r w:rsidR="000C76F7" w:rsidRPr="00941A37">
        <w:rPr>
          <w:szCs w:val="24"/>
        </w:rPr>
        <w:t xml:space="preserve">we are often well-intended—by allowing the current </w:t>
      </w:r>
      <w:r w:rsidR="000C76F7" w:rsidRPr="00941A37">
        <w:rPr>
          <w:i/>
          <w:szCs w:val="24"/>
        </w:rPr>
        <w:t xml:space="preserve">quantity </w:t>
      </w:r>
      <w:r w:rsidR="000C76F7" w:rsidRPr="00941A37">
        <w:rPr>
          <w:szCs w:val="24"/>
        </w:rPr>
        <w:t>of mathematics content in schools to remain constant, we ignore a significant component of the problems we purport to mollify.</w:t>
      </w:r>
    </w:p>
    <w:p w:rsidR="006C1367" w:rsidRPr="00941A37" w:rsidRDefault="006C1367" w:rsidP="00941A37">
      <w:pPr>
        <w:spacing w:after="0" w:line="240" w:lineRule="auto"/>
        <w:jc w:val="both"/>
        <w:rPr>
          <w:szCs w:val="24"/>
        </w:rPr>
      </w:pPr>
    </w:p>
    <w:p w:rsidR="0086454D" w:rsidRPr="00941A37" w:rsidRDefault="00E05031" w:rsidP="006C1367">
      <w:pPr>
        <w:spacing w:after="0" w:line="240" w:lineRule="auto"/>
        <w:rPr>
          <w:b/>
          <w:szCs w:val="24"/>
        </w:rPr>
      </w:pPr>
      <w:r w:rsidRPr="00941A37">
        <w:rPr>
          <w:b/>
          <w:szCs w:val="24"/>
        </w:rPr>
        <w:t>References</w:t>
      </w:r>
    </w:p>
    <w:p w:rsidR="00A628C6" w:rsidRPr="00941A37" w:rsidRDefault="00A628C6" w:rsidP="00941A37">
      <w:pPr>
        <w:spacing w:after="0" w:line="240" w:lineRule="auto"/>
        <w:jc w:val="both"/>
        <w:rPr>
          <w:b/>
          <w:szCs w:val="24"/>
        </w:rPr>
      </w:pPr>
    </w:p>
    <w:p w:rsidR="000C76F7" w:rsidRPr="00941A37" w:rsidRDefault="00515977" w:rsidP="00941A37">
      <w:pPr>
        <w:spacing w:after="0" w:line="240" w:lineRule="auto"/>
        <w:ind w:left="720" w:hanging="720"/>
        <w:jc w:val="both"/>
        <w:rPr>
          <w:rFonts w:eastAsia="Times New Roman"/>
          <w:szCs w:val="24"/>
        </w:rPr>
      </w:pPr>
      <w:r w:rsidRPr="00941A37">
        <w:rPr>
          <w:rFonts w:eastAsia="Times New Roman"/>
          <w:szCs w:val="24"/>
        </w:rPr>
        <w:t>Berry, R. Q. III. (2008)</w:t>
      </w:r>
      <w:r w:rsidR="000C76F7" w:rsidRPr="00941A37">
        <w:rPr>
          <w:rFonts w:eastAsia="Times New Roman"/>
          <w:szCs w:val="24"/>
        </w:rPr>
        <w:t xml:space="preserve"> Access to upper-level mathematics: The stories of successful African American middle school boys. </w:t>
      </w:r>
      <w:proofErr w:type="gramStart"/>
      <w:r w:rsidR="000C76F7" w:rsidRPr="00941A37">
        <w:rPr>
          <w:rFonts w:eastAsia="Times New Roman"/>
          <w:i/>
          <w:iCs/>
          <w:szCs w:val="24"/>
        </w:rPr>
        <w:t>Journal for Re</w:t>
      </w:r>
      <w:r w:rsidRPr="00941A37">
        <w:rPr>
          <w:rFonts w:eastAsia="Times New Roman"/>
          <w:i/>
          <w:iCs/>
          <w:szCs w:val="24"/>
        </w:rPr>
        <w:t>search in Mathematics Education</w:t>
      </w:r>
      <w:r w:rsidR="000C76F7" w:rsidRPr="00941A37">
        <w:rPr>
          <w:rFonts w:eastAsia="Times New Roman"/>
          <w:i/>
          <w:iCs/>
          <w:szCs w:val="24"/>
        </w:rPr>
        <w:t xml:space="preserve"> </w:t>
      </w:r>
      <w:r w:rsidR="000C76F7" w:rsidRPr="00941A37">
        <w:rPr>
          <w:rFonts w:eastAsia="Times New Roman"/>
          <w:b/>
          <w:i/>
          <w:iCs/>
          <w:szCs w:val="24"/>
        </w:rPr>
        <w:t>39</w:t>
      </w:r>
      <w:r w:rsidR="000C76F7" w:rsidRPr="00941A37">
        <w:rPr>
          <w:rFonts w:eastAsia="Times New Roman"/>
          <w:szCs w:val="24"/>
        </w:rPr>
        <w:t>(5), 464−488.</w:t>
      </w:r>
      <w:proofErr w:type="gramEnd"/>
    </w:p>
    <w:p w:rsidR="00E26F2B" w:rsidRPr="00941A37" w:rsidRDefault="00515977" w:rsidP="00941A37">
      <w:pPr>
        <w:spacing w:after="0" w:line="240" w:lineRule="auto"/>
        <w:ind w:left="720" w:hanging="720"/>
        <w:jc w:val="both"/>
        <w:rPr>
          <w:rFonts w:eastAsia="Times New Roman"/>
          <w:szCs w:val="24"/>
        </w:rPr>
      </w:pPr>
      <w:proofErr w:type="spellStart"/>
      <w:r w:rsidRPr="00941A37">
        <w:rPr>
          <w:rFonts w:eastAsia="Times New Roman"/>
          <w:szCs w:val="24"/>
        </w:rPr>
        <w:lastRenderedPageBreak/>
        <w:t>Brighouse</w:t>
      </w:r>
      <w:proofErr w:type="spellEnd"/>
      <w:r w:rsidRPr="00941A37">
        <w:rPr>
          <w:rFonts w:eastAsia="Times New Roman"/>
          <w:szCs w:val="24"/>
        </w:rPr>
        <w:t>, H. (2006)</w:t>
      </w:r>
      <w:r w:rsidR="006D21C2" w:rsidRPr="00941A37">
        <w:rPr>
          <w:rFonts w:eastAsia="Times New Roman"/>
          <w:szCs w:val="24"/>
        </w:rPr>
        <w:t xml:space="preserve"> </w:t>
      </w:r>
      <w:proofErr w:type="gramStart"/>
      <w:r w:rsidR="006D21C2" w:rsidRPr="00941A37">
        <w:rPr>
          <w:rFonts w:eastAsia="Times New Roman"/>
          <w:i/>
          <w:iCs/>
          <w:szCs w:val="24"/>
        </w:rPr>
        <w:t>On</w:t>
      </w:r>
      <w:proofErr w:type="gramEnd"/>
      <w:r w:rsidR="006D21C2" w:rsidRPr="00941A37">
        <w:rPr>
          <w:rFonts w:eastAsia="Times New Roman"/>
          <w:i/>
          <w:iCs/>
          <w:szCs w:val="24"/>
        </w:rPr>
        <w:t xml:space="preserve"> education</w:t>
      </w:r>
      <w:r w:rsidR="006D21C2" w:rsidRPr="00941A37">
        <w:rPr>
          <w:rFonts w:eastAsia="Times New Roman"/>
          <w:szCs w:val="24"/>
        </w:rPr>
        <w:t xml:space="preserve">. London: Routledge. </w:t>
      </w:r>
    </w:p>
    <w:p w:rsidR="00AD1810" w:rsidRPr="00941A37" w:rsidRDefault="005E1FE9" w:rsidP="00941A37">
      <w:pPr>
        <w:spacing w:after="0" w:line="240" w:lineRule="auto"/>
        <w:ind w:left="720" w:hanging="720"/>
        <w:jc w:val="both"/>
        <w:rPr>
          <w:szCs w:val="24"/>
        </w:rPr>
      </w:pPr>
      <w:r w:rsidRPr="00941A37">
        <w:rPr>
          <w:szCs w:val="24"/>
        </w:rPr>
        <w:t>Gibson,</w:t>
      </w:r>
      <w:r w:rsidR="00004ED9" w:rsidRPr="00941A37">
        <w:rPr>
          <w:szCs w:val="24"/>
        </w:rPr>
        <w:t xml:space="preserve"> R. (1986)</w:t>
      </w:r>
      <w:r w:rsidRPr="00941A37">
        <w:rPr>
          <w:szCs w:val="24"/>
        </w:rPr>
        <w:t xml:space="preserve"> Logic as a core curriculum subject: Its case as an alternative to mathematics.</w:t>
      </w:r>
      <w:r w:rsidRPr="00941A37">
        <w:rPr>
          <w:i/>
          <w:iCs/>
          <w:szCs w:val="24"/>
        </w:rPr>
        <w:t> Jou</w:t>
      </w:r>
      <w:r w:rsidR="00004ED9" w:rsidRPr="00941A37">
        <w:rPr>
          <w:i/>
          <w:iCs/>
          <w:szCs w:val="24"/>
        </w:rPr>
        <w:t>rnal of Philosophy of Education</w:t>
      </w:r>
      <w:r w:rsidRPr="00941A37">
        <w:rPr>
          <w:i/>
          <w:iCs/>
          <w:szCs w:val="24"/>
        </w:rPr>
        <w:t> </w:t>
      </w:r>
      <w:r w:rsidRPr="00941A37">
        <w:rPr>
          <w:b/>
          <w:i/>
          <w:iCs/>
          <w:szCs w:val="24"/>
        </w:rPr>
        <w:t>20</w:t>
      </w:r>
      <w:r w:rsidRPr="00941A37">
        <w:rPr>
          <w:szCs w:val="24"/>
        </w:rPr>
        <w:t xml:space="preserve">(1), 21-37. </w:t>
      </w:r>
    </w:p>
    <w:p w:rsidR="00956333" w:rsidRPr="00941A37" w:rsidRDefault="00956333" w:rsidP="00941A37">
      <w:pPr>
        <w:spacing w:after="0" w:line="240" w:lineRule="auto"/>
        <w:ind w:left="720" w:hanging="720"/>
        <w:jc w:val="both"/>
        <w:rPr>
          <w:szCs w:val="24"/>
        </w:rPr>
      </w:pPr>
      <w:r w:rsidRPr="00941A37">
        <w:rPr>
          <w:szCs w:val="24"/>
        </w:rPr>
        <w:t xml:space="preserve">Hughes-Hallett, D. </w:t>
      </w:r>
      <w:r w:rsidR="00E74E2C" w:rsidRPr="00941A37">
        <w:rPr>
          <w:szCs w:val="24"/>
        </w:rPr>
        <w:t>(</w:t>
      </w:r>
      <w:r w:rsidRPr="00941A37">
        <w:rPr>
          <w:szCs w:val="24"/>
        </w:rPr>
        <w:t>2003</w:t>
      </w:r>
      <w:r w:rsidR="00E74E2C" w:rsidRPr="00941A37">
        <w:rPr>
          <w:szCs w:val="24"/>
        </w:rPr>
        <w:t>)</w:t>
      </w:r>
      <w:r w:rsidRPr="00941A37">
        <w:rPr>
          <w:szCs w:val="24"/>
        </w:rPr>
        <w:t xml:space="preserve"> </w:t>
      </w:r>
      <w:proofErr w:type="gramStart"/>
      <w:r w:rsidRPr="00941A37">
        <w:rPr>
          <w:szCs w:val="24"/>
        </w:rPr>
        <w:t>The</w:t>
      </w:r>
      <w:proofErr w:type="gramEnd"/>
      <w:r w:rsidRPr="00941A37">
        <w:rPr>
          <w:szCs w:val="24"/>
        </w:rPr>
        <w:t xml:space="preserve"> role of mathematics courses in the development of quantitative literacy. In </w:t>
      </w:r>
      <w:r w:rsidR="0049193F" w:rsidRPr="00941A37">
        <w:rPr>
          <w:szCs w:val="24"/>
        </w:rPr>
        <w:t xml:space="preserve">Steel, L. A. &amp; </w:t>
      </w:r>
      <w:r w:rsidR="00EE63D4" w:rsidRPr="00941A37">
        <w:rPr>
          <w:szCs w:val="24"/>
        </w:rPr>
        <w:t>Madison, B. L. (Ed</w:t>
      </w:r>
      <w:r w:rsidR="0049193F" w:rsidRPr="00941A37">
        <w:rPr>
          <w:szCs w:val="24"/>
        </w:rPr>
        <w:t>s</w:t>
      </w:r>
      <w:r w:rsidR="00EE63D4" w:rsidRPr="00941A37">
        <w:rPr>
          <w:szCs w:val="24"/>
        </w:rPr>
        <w:t xml:space="preserve">.) </w:t>
      </w:r>
      <w:r w:rsidRPr="00941A37">
        <w:rPr>
          <w:i/>
          <w:szCs w:val="24"/>
        </w:rPr>
        <w:t>Quantitative literacy: Why numeracy matters for schools and colleges</w:t>
      </w:r>
      <w:r w:rsidRPr="00941A37">
        <w:rPr>
          <w:szCs w:val="24"/>
        </w:rPr>
        <w:t xml:space="preserve">, </w:t>
      </w:r>
      <w:r w:rsidR="00EE63D4" w:rsidRPr="00941A37">
        <w:rPr>
          <w:szCs w:val="24"/>
        </w:rPr>
        <w:t>p</w:t>
      </w:r>
      <w:r w:rsidR="0049193F" w:rsidRPr="00941A37">
        <w:rPr>
          <w:szCs w:val="24"/>
        </w:rPr>
        <w:t>p</w:t>
      </w:r>
      <w:r w:rsidR="00EE63D4" w:rsidRPr="00941A37">
        <w:rPr>
          <w:szCs w:val="24"/>
        </w:rPr>
        <w:t xml:space="preserve">. </w:t>
      </w:r>
      <w:r w:rsidRPr="00941A37">
        <w:rPr>
          <w:szCs w:val="24"/>
        </w:rPr>
        <w:t xml:space="preserve">91-98. Princeton, NJ: National Council on Education and the Disciplines. </w:t>
      </w:r>
    </w:p>
    <w:p w:rsidR="000C76F7" w:rsidRPr="00941A37" w:rsidRDefault="00C4615F" w:rsidP="00941A37">
      <w:pPr>
        <w:spacing w:after="0" w:line="240" w:lineRule="auto"/>
        <w:ind w:left="720" w:hanging="720"/>
        <w:jc w:val="both"/>
        <w:rPr>
          <w:szCs w:val="24"/>
        </w:rPr>
      </w:pPr>
      <w:r w:rsidRPr="00941A37">
        <w:rPr>
          <w:szCs w:val="24"/>
        </w:rPr>
        <w:t>Jones, D. V. (2004)</w:t>
      </w:r>
      <w:r w:rsidR="00AD1810" w:rsidRPr="00941A37">
        <w:rPr>
          <w:szCs w:val="24"/>
        </w:rPr>
        <w:t xml:space="preserve"> Na</w:t>
      </w:r>
      <w:r w:rsidR="0026178E" w:rsidRPr="00941A37">
        <w:rPr>
          <w:szCs w:val="24"/>
        </w:rPr>
        <w:t>tional numeracy initiatives in England and W</w:t>
      </w:r>
      <w:r w:rsidR="00AD1810" w:rsidRPr="00941A37">
        <w:rPr>
          <w:szCs w:val="24"/>
        </w:rPr>
        <w:t>ales: Parallel attempts at achieving large-scale reform.</w:t>
      </w:r>
      <w:r w:rsidR="00AD1810" w:rsidRPr="00941A37">
        <w:rPr>
          <w:i/>
          <w:iCs/>
          <w:szCs w:val="24"/>
        </w:rPr>
        <w:t> Compare: A Journal of Comparat</w:t>
      </w:r>
      <w:r w:rsidRPr="00941A37">
        <w:rPr>
          <w:i/>
          <w:iCs/>
          <w:szCs w:val="24"/>
        </w:rPr>
        <w:t>ive and International Education</w:t>
      </w:r>
      <w:r w:rsidR="00AD1810" w:rsidRPr="00941A37">
        <w:rPr>
          <w:i/>
          <w:iCs/>
          <w:szCs w:val="24"/>
        </w:rPr>
        <w:t> </w:t>
      </w:r>
      <w:r w:rsidR="00AD1810" w:rsidRPr="00941A37">
        <w:rPr>
          <w:b/>
          <w:i/>
          <w:iCs/>
          <w:szCs w:val="24"/>
        </w:rPr>
        <w:t>34</w:t>
      </w:r>
      <w:r w:rsidR="00AD1810" w:rsidRPr="00941A37">
        <w:rPr>
          <w:szCs w:val="24"/>
        </w:rPr>
        <w:t xml:space="preserve">(4), 463-486. </w:t>
      </w:r>
    </w:p>
    <w:p w:rsidR="000C76F7" w:rsidRPr="00941A37" w:rsidRDefault="000C76F7" w:rsidP="00941A37">
      <w:pPr>
        <w:spacing w:after="0" w:line="240" w:lineRule="auto"/>
        <w:ind w:left="432" w:hanging="432"/>
        <w:jc w:val="both"/>
        <w:rPr>
          <w:i/>
          <w:szCs w:val="24"/>
        </w:rPr>
      </w:pPr>
      <w:r w:rsidRPr="00941A37">
        <w:rPr>
          <w:szCs w:val="24"/>
        </w:rPr>
        <w:t xml:space="preserve">Madison, B. L. </w:t>
      </w:r>
      <w:r w:rsidR="00E74E2C" w:rsidRPr="00941A37">
        <w:rPr>
          <w:szCs w:val="24"/>
        </w:rPr>
        <w:t>(2003) Articulation and quantitative literacy: A view from inside mathematics. In Steen</w:t>
      </w:r>
      <w:r w:rsidR="0049193F" w:rsidRPr="00941A37">
        <w:rPr>
          <w:szCs w:val="24"/>
        </w:rPr>
        <w:t>, L. A.</w:t>
      </w:r>
      <w:r w:rsidR="00E74E2C" w:rsidRPr="00941A37">
        <w:rPr>
          <w:szCs w:val="24"/>
        </w:rPr>
        <w:t xml:space="preserve"> &amp; Madison</w:t>
      </w:r>
      <w:r w:rsidR="0049193F" w:rsidRPr="00941A37">
        <w:rPr>
          <w:szCs w:val="24"/>
        </w:rPr>
        <w:t>, B. L. (Eds.)</w:t>
      </w:r>
      <w:r w:rsidR="00E74E2C" w:rsidRPr="00941A37">
        <w:rPr>
          <w:szCs w:val="24"/>
        </w:rPr>
        <w:t xml:space="preserve"> </w:t>
      </w:r>
      <w:r w:rsidRPr="00941A37">
        <w:rPr>
          <w:i/>
          <w:szCs w:val="24"/>
        </w:rPr>
        <w:t>Quantitative literacy: Why numeracy matters for schools and colleges</w:t>
      </w:r>
      <w:r w:rsidR="0049193F" w:rsidRPr="00941A37">
        <w:rPr>
          <w:i/>
          <w:szCs w:val="24"/>
        </w:rPr>
        <w:t xml:space="preserve">, </w:t>
      </w:r>
      <w:r w:rsidR="00E74E2C" w:rsidRPr="00941A37">
        <w:rPr>
          <w:szCs w:val="24"/>
        </w:rPr>
        <w:t>pp.</w:t>
      </w:r>
      <w:r w:rsidR="0049193F" w:rsidRPr="00941A37">
        <w:rPr>
          <w:szCs w:val="24"/>
        </w:rPr>
        <w:t xml:space="preserve"> 153-164</w:t>
      </w:r>
      <w:r w:rsidRPr="00941A37">
        <w:rPr>
          <w:szCs w:val="24"/>
        </w:rPr>
        <w:t xml:space="preserve">. Princeton, NJ: National Council on Education and the Disciplines. </w:t>
      </w:r>
    </w:p>
    <w:p w:rsidR="00466B17" w:rsidRPr="00941A37" w:rsidRDefault="00933CDE" w:rsidP="00941A37">
      <w:pPr>
        <w:spacing w:after="0" w:line="240" w:lineRule="auto"/>
        <w:ind w:left="720" w:hanging="720"/>
        <w:jc w:val="both"/>
        <w:rPr>
          <w:szCs w:val="24"/>
        </w:rPr>
      </w:pPr>
      <w:r w:rsidRPr="00941A37">
        <w:rPr>
          <w:szCs w:val="24"/>
        </w:rPr>
        <w:t>Mumford, D. (2006)</w:t>
      </w:r>
      <w:r w:rsidR="006D21C2" w:rsidRPr="00941A37">
        <w:rPr>
          <w:szCs w:val="24"/>
        </w:rPr>
        <w:t xml:space="preserve"> Mathematics belongs in a liberal education.</w:t>
      </w:r>
      <w:r w:rsidR="006D21C2" w:rsidRPr="00941A37">
        <w:rPr>
          <w:i/>
          <w:iCs/>
          <w:szCs w:val="24"/>
        </w:rPr>
        <w:t> Arts and</w:t>
      </w:r>
      <w:r w:rsidRPr="00941A37">
        <w:rPr>
          <w:i/>
          <w:iCs/>
          <w:szCs w:val="24"/>
        </w:rPr>
        <w:t xml:space="preserve"> Humanities in Higher Education</w:t>
      </w:r>
      <w:r w:rsidR="006D21C2" w:rsidRPr="00941A37">
        <w:rPr>
          <w:i/>
          <w:iCs/>
          <w:szCs w:val="24"/>
        </w:rPr>
        <w:t> </w:t>
      </w:r>
      <w:r w:rsidR="006D21C2" w:rsidRPr="00941A37">
        <w:rPr>
          <w:b/>
          <w:i/>
          <w:iCs/>
          <w:szCs w:val="24"/>
        </w:rPr>
        <w:t>5</w:t>
      </w:r>
      <w:r w:rsidR="006D21C2" w:rsidRPr="00941A37">
        <w:rPr>
          <w:szCs w:val="24"/>
        </w:rPr>
        <w:t xml:space="preserve">(1), 21-32. </w:t>
      </w:r>
    </w:p>
    <w:p w:rsidR="008D32A0" w:rsidRPr="00941A37" w:rsidRDefault="008D32A0" w:rsidP="00941A37">
      <w:pPr>
        <w:spacing w:after="0" w:line="240" w:lineRule="auto"/>
        <w:ind w:left="720" w:hanging="720"/>
        <w:jc w:val="both"/>
        <w:rPr>
          <w:rFonts w:eastAsia="Times New Roman"/>
          <w:szCs w:val="24"/>
        </w:rPr>
      </w:pPr>
      <w:proofErr w:type="gramStart"/>
      <w:r w:rsidRPr="00941A37">
        <w:rPr>
          <w:rFonts w:eastAsia="Times New Roman"/>
          <w:szCs w:val="24"/>
        </w:rPr>
        <w:t xml:space="preserve">National Council of </w:t>
      </w:r>
      <w:r w:rsidR="00933CDE" w:rsidRPr="00941A37">
        <w:rPr>
          <w:rFonts w:eastAsia="Times New Roman"/>
          <w:szCs w:val="24"/>
        </w:rPr>
        <w:t>Teachers of Mathematics.</w:t>
      </w:r>
      <w:proofErr w:type="gramEnd"/>
      <w:r w:rsidR="00933CDE" w:rsidRPr="00941A37">
        <w:rPr>
          <w:rFonts w:eastAsia="Times New Roman"/>
          <w:szCs w:val="24"/>
        </w:rPr>
        <w:t xml:space="preserve"> </w:t>
      </w:r>
      <w:proofErr w:type="gramStart"/>
      <w:r w:rsidR="00933CDE" w:rsidRPr="00941A37">
        <w:rPr>
          <w:rFonts w:eastAsia="Times New Roman"/>
          <w:szCs w:val="24"/>
        </w:rPr>
        <w:t>(2000)</w:t>
      </w:r>
      <w:r w:rsidRPr="00941A37">
        <w:rPr>
          <w:rFonts w:eastAsia="Times New Roman"/>
          <w:szCs w:val="24"/>
        </w:rPr>
        <w:t xml:space="preserve"> </w:t>
      </w:r>
      <w:r w:rsidRPr="00941A37">
        <w:rPr>
          <w:rFonts w:eastAsia="Times New Roman"/>
          <w:i/>
          <w:szCs w:val="24"/>
        </w:rPr>
        <w:t>Principles and standards for school mathematics</w:t>
      </w:r>
      <w:r w:rsidRPr="00941A37">
        <w:rPr>
          <w:rFonts w:eastAsia="Times New Roman"/>
          <w:szCs w:val="24"/>
        </w:rPr>
        <w:t>.</w:t>
      </w:r>
      <w:proofErr w:type="gramEnd"/>
      <w:r w:rsidRPr="00941A37">
        <w:rPr>
          <w:rFonts w:eastAsia="Times New Roman"/>
          <w:szCs w:val="24"/>
        </w:rPr>
        <w:t xml:space="preserve"> Reston, VA: Author.</w:t>
      </w:r>
    </w:p>
    <w:p w:rsidR="008D32A0" w:rsidRPr="00941A37" w:rsidRDefault="008D32A0" w:rsidP="00941A37">
      <w:pPr>
        <w:spacing w:after="0" w:line="240" w:lineRule="auto"/>
        <w:ind w:left="720" w:hanging="720"/>
        <w:jc w:val="both"/>
        <w:rPr>
          <w:rFonts w:eastAsia="Times New Roman"/>
          <w:szCs w:val="24"/>
        </w:rPr>
      </w:pPr>
      <w:proofErr w:type="gramStart"/>
      <w:r w:rsidRPr="00941A37">
        <w:rPr>
          <w:rFonts w:eastAsia="Times New Roman"/>
          <w:szCs w:val="24"/>
        </w:rPr>
        <w:t>National Governors Association Center for Best Practices &amp; Council of Chie</w:t>
      </w:r>
      <w:r w:rsidR="009E1287" w:rsidRPr="00941A37">
        <w:rPr>
          <w:rFonts w:eastAsia="Times New Roman"/>
          <w:szCs w:val="24"/>
        </w:rPr>
        <w:t>f State School Officers.</w:t>
      </w:r>
      <w:proofErr w:type="gramEnd"/>
      <w:r w:rsidR="009E1287" w:rsidRPr="00941A37">
        <w:rPr>
          <w:rFonts w:eastAsia="Times New Roman"/>
          <w:szCs w:val="24"/>
        </w:rPr>
        <w:t xml:space="preserve"> </w:t>
      </w:r>
      <w:proofErr w:type="gramStart"/>
      <w:r w:rsidR="009E1287" w:rsidRPr="00941A37">
        <w:rPr>
          <w:rFonts w:eastAsia="Times New Roman"/>
          <w:szCs w:val="24"/>
        </w:rPr>
        <w:t>(2010)</w:t>
      </w:r>
      <w:r w:rsidRPr="00941A37">
        <w:rPr>
          <w:rFonts w:eastAsia="Times New Roman"/>
          <w:szCs w:val="24"/>
        </w:rPr>
        <w:t> </w:t>
      </w:r>
      <w:r w:rsidRPr="00941A37">
        <w:rPr>
          <w:rFonts w:eastAsia="Times New Roman"/>
          <w:i/>
          <w:iCs/>
          <w:szCs w:val="24"/>
        </w:rPr>
        <w:t>Common Core State Standards for Mathematics.</w:t>
      </w:r>
      <w:proofErr w:type="gramEnd"/>
      <w:r w:rsidRPr="00941A37">
        <w:rPr>
          <w:rFonts w:eastAsia="Times New Roman"/>
          <w:szCs w:val="24"/>
        </w:rPr>
        <w:t xml:space="preserve"> Washington, DC: Authors. </w:t>
      </w:r>
    </w:p>
    <w:p w:rsidR="00F101B3" w:rsidRPr="00941A37" w:rsidRDefault="009E1287" w:rsidP="00941A37">
      <w:pPr>
        <w:spacing w:after="0" w:line="240" w:lineRule="auto"/>
        <w:ind w:left="720" w:hanging="720"/>
        <w:jc w:val="both"/>
        <w:rPr>
          <w:szCs w:val="24"/>
        </w:rPr>
      </w:pPr>
      <w:r w:rsidRPr="00941A37">
        <w:rPr>
          <w:rFonts w:eastAsia="Times New Roman"/>
          <w:szCs w:val="24"/>
        </w:rPr>
        <w:t>Schoenfeld, A. H. (2004)</w:t>
      </w:r>
      <w:r w:rsidR="00466B17" w:rsidRPr="00941A37">
        <w:rPr>
          <w:rFonts w:eastAsia="Times New Roman"/>
          <w:szCs w:val="24"/>
        </w:rPr>
        <w:t xml:space="preserve"> </w:t>
      </w:r>
      <w:proofErr w:type="gramStart"/>
      <w:r w:rsidR="00466B17" w:rsidRPr="00941A37">
        <w:rPr>
          <w:rFonts w:eastAsia="Times New Roman"/>
          <w:szCs w:val="24"/>
        </w:rPr>
        <w:t>The</w:t>
      </w:r>
      <w:proofErr w:type="gramEnd"/>
      <w:r w:rsidR="00466B17" w:rsidRPr="00941A37">
        <w:rPr>
          <w:rFonts w:eastAsia="Times New Roman"/>
          <w:szCs w:val="24"/>
        </w:rPr>
        <w:t xml:space="preserve"> </w:t>
      </w:r>
      <w:r w:rsidR="003072B9" w:rsidRPr="00941A37">
        <w:rPr>
          <w:rFonts w:eastAsia="Times New Roman"/>
          <w:szCs w:val="24"/>
        </w:rPr>
        <w:t>mathematics</w:t>
      </w:r>
      <w:r w:rsidR="00466B17" w:rsidRPr="00941A37">
        <w:rPr>
          <w:rFonts w:eastAsia="Times New Roman"/>
          <w:szCs w:val="24"/>
        </w:rPr>
        <w:t xml:space="preserve"> wars.</w:t>
      </w:r>
      <w:r w:rsidRPr="00941A37">
        <w:rPr>
          <w:rFonts w:eastAsia="Times New Roman"/>
          <w:i/>
          <w:iCs/>
          <w:szCs w:val="24"/>
        </w:rPr>
        <w:t> Educational Policy</w:t>
      </w:r>
      <w:r w:rsidR="00466B17" w:rsidRPr="00941A37">
        <w:rPr>
          <w:rFonts w:eastAsia="Times New Roman"/>
          <w:i/>
          <w:iCs/>
          <w:szCs w:val="24"/>
        </w:rPr>
        <w:t> </w:t>
      </w:r>
      <w:r w:rsidR="00466B17" w:rsidRPr="00941A37">
        <w:rPr>
          <w:rFonts w:eastAsia="Times New Roman"/>
          <w:b/>
          <w:i/>
          <w:iCs/>
          <w:szCs w:val="24"/>
        </w:rPr>
        <w:t>18</w:t>
      </w:r>
      <w:r w:rsidR="00466B17" w:rsidRPr="00941A37">
        <w:rPr>
          <w:rFonts w:eastAsia="Times New Roman"/>
          <w:szCs w:val="24"/>
        </w:rPr>
        <w:t xml:space="preserve">(1), 253-286. </w:t>
      </w:r>
    </w:p>
    <w:p w:rsidR="00265D24" w:rsidRPr="00941A37" w:rsidRDefault="00265D24" w:rsidP="00941A37">
      <w:pPr>
        <w:spacing w:after="0" w:line="240" w:lineRule="auto"/>
        <w:ind w:left="720" w:hanging="720"/>
        <w:jc w:val="both"/>
        <w:rPr>
          <w:rFonts w:eastAsia="Times New Roman"/>
          <w:szCs w:val="24"/>
        </w:rPr>
      </w:pPr>
      <w:r w:rsidRPr="00941A37">
        <w:rPr>
          <w:rFonts w:eastAsia="Times New Roman"/>
          <w:bCs/>
          <w:szCs w:val="24"/>
        </w:rPr>
        <w:t xml:space="preserve">Snyder, T. D., </w:t>
      </w:r>
      <w:r w:rsidR="009E1287" w:rsidRPr="00941A37">
        <w:rPr>
          <w:rFonts w:eastAsia="Times New Roman"/>
          <w:bCs/>
          <w:szCs w:val="24"/>
        </w:rPr>
        <w:t xml:space="preserve">&amp; </w:t>
      </w:r>
      <w:proofErr w:type="spellStart"/>
      <w:r w:rsidRPr="00941A37">
        <w:rPr>
          <w:rFonts w:eastAsia="Times New Roman"/>
          <w:bCs/>
          <w:szCs w:val="24"/>
        </w:rPr>
        <w:t>Dillow</w:t>
      </w:r>
      <w:proofErr w:type="spellEnd"/>
      <w:r w:rsidR="009E1287" w:rsidRPr="00941A37">
        <w:rPr>
          <w:rFonts w:eastAsia="Times New Roman"/>
          <w:bCs/>
          <w:szCs w:val="24"/>
        </w:rPr>
        <w:t>, S. A</w:t>
      </w:r>
      <w:r w:rsidRPr="00941A37">
        <w:rPr>
          <w:rFonts w:eastAsia="Times New Roman"/>
          <w:bCs/>
          <w:szCs w:val="24"/>
        </w:rPr>
        <w:t xml:space="preserve">. </w:t>
      </w:r>
      <w:r w:rsidR="009E1287" w:rsidRPr="00941A37">
        <w:rPr>
          <w:rFonts w:eastAsia="Times New Roman"/>
          <w:bCs/>
          <w:szCs w:val="24"/>
        </w:rPr>
        <w:t>(</w:t>
      </w:r>
      <w:r w:rsidRPr="00941A37">
        <w:rPr>
          <w:rFonts w:eastAsia="Times New Roman"/>
          <w:bCs/>
          <w:szCs w:val="24"/>
        </w:rPr>
        <w:t>2013</w:t>
      </w:r>
      <w:r w:rsidR="009E1287" w:rsidRPr="00941A37">
        <w:rPr>
          <w:rFonts w:eastAsia="Times New Roman"/>
          <w:bCs/>
          <w:szCs w:val="24"/>
        </w:rPr>
        <w:t>)</w:t>
      </w:r>
      <w:r w:rsidRPr="00941A37">
        <w:rPr>
          <w:rFonts w:eastAsia="Times New Roman"/>
          <w:bCs/>
          <w:szCs w:val="24"/>
        </w:rPr>
        <w:t xml:space="preserve"> Digest of education statistics, 2012. </w:t>
      </w:r>
      <w:proofErr w:type="gramStart"/>
      <w:r w:rsidR="009E1287" w:rsidRPr="00941A37">
        <w:rPr>
          <w:rFonts w:eastAsia="Times New Roman"/>
          <w:bCs/>
          <w:szCs w:val="24"/>
        </w:rPr>
        <w:t xml:space="preserve">Retrieved from </w:t>
      </w:r>
      <w:hyperlink r:id="rId8" w:history="1">
        <w:r w:rsidR="009E1287" w:rsidRPr="00941A37">
          <w:rPr>
            <w:rStyle w:val="Hyperlink"/>
            <w:rFonts w:eastAsia="Times New Roman"/>
            <w:bCs/>
            <w:iCs/>
            <w:szCs w:val="24"/>
          </w:rPr>
          <w:t>http://nces.ed.gov/pubsearch/pubsinfo.asp?pubid=2014015</w:t>
        </w:r>
      </w:hyperlink>
      <w:r w:rsidRPr="00941A37">
        <w:rPr>
          <w:rFonts w:eastAsia="Times New Roman"/>
          <w:bCs/>
          <w:iCs/>
          <w:szCs w:val="24"/>
        </w:rPr>
        <w:t xml:space="preserve"> (accessed </w:t>
      </w:r>
      <w:r w:rsidR="009E1287" w:rsidRPr="00941A37">
        <w:rPr>
          <w:rFonts w:eastAsia="Times New Roman"/>
          <w:bCs/>
          <w:iCs/>
          <w:szCs w:val="24"/>
        </w:rPr>
        <w:t>March 19, 2016)</w:t>
      </w:r>
      <w:r w:rsidRPr="00941A37">
        <w:rPr>
          <w:rFonts w:eastAsia="Times New Roman"/>
          <w:bCs/>
          <w:iCs/>
          <w:szCs w:val="24"/>
        </w:rPr>
        <w:t>.</w:t>
      </w:r>
      <w:proofErr w:type="gramEnd"/>
      <w:r w:rsidRPr="00941A37">
        <w:rPr>
          <w:rFonts w:eastAsia="Times New Roman"/>
          <w:bCs/>
          <w:iCs/>
          <w:szCs w:val="24"/>
        </w:rPr>
        <w:t xml:space="preserve"> </w:t>
      </w:r>
    </w:p>
    <w:p w:rsidR="00F101B3" w:rsidRPr="00941A37" w:rsidRDefault="00F101B3" w:rsidP="00941A37">
      <w:pPr>
        <w:spacing w:after="0" w:line="240" w:lineRule="auto"/>
        <w:ind w:left="720" w:hanging="720"/>
        <w:jc w:val="both"/>
        <w:rPr>
          <w:szCs w:val="24"/>
        </w:rPr>
      </w:pPr>
      <w:r w:rsidRPr="00941A37">
        <w:rPr>
          <w:rFonts w:eastAsia="Times New Roman"/>
          <w:szCs w:val="24"/>
        </w:rPr>
        <w:t>Stee</w:t>
      </w:r>
      <w:r w:rsidR="00C01BC6" w:rsidRPr="00941A37">
        <w:rPr>
          <w:rFonts w:eastAsia="Times New Roman"/>
          <w:szCs w:val="24"/>
        </w:rPr>
        <w:t xml:space="preserve">le, B., &amp; </w:t>
      </w:r>
      <w:proofErr w:type="spellStart"/>
      <w:r w:rsidR="00C01BC6" w:rsidRPr="00941A37">
        <w:rPr>
          <w:rFonts w:eastAsia="Times New Roman"/>
          <w:szCs w:val="24"/>
        </w:rPr>
        <w:t>Kiliç-Bahi</w:t>
      </w:r>
      <w:proofErr w:type="spellEnd"/>
      <w:r w:rsidR="00C01BC6" w:rsidRPr="00941A37">
        <w:rPr>
          <w:rFonts w:eastAsia="Times New Roman"/>
          <w:szCs w:val="24"/>
        </w:rPr>
        <w:t>, S. (2008)</w:t>
      </w:r>
      <w:r w:rsidRPr="00941A37">
        <w:rPr>
          <w:rFonts w:eastAsia="Times New Roman"/>
          <w:szCs w:val="24"/>
        </w:rPr>
        <w:t xml:space="preserve"> Quantitative literacy across the curriculum: A case study.</w:t>
      </w:r>
      <w:r w:rsidRPr="00941A37">
        <w:rPr>
          <w:rFonts w:eastAsia="Times New Roman"/>
          <w:i/>
          <w:iCs/>
          <w:szCs w:val="24"/>
        </w:rPr>
        <w:t> </w:t>
      </w:r>
      <w:proofErr w:type="gramStart"/>
      <w:r w:rsidR="00C01BC6" w:rsidRPr="00941A37">
        <w:rPr>
          <w:rFonts w:eastAsia="Times New Roman"/>
          <w:i/>
          <w:iCs/>
          <w:szCs w:val="24"/>
        </w:rPr>
        <w:t xml:space="preserve">Numeracy </w:t>
      </w:r>
      <w:r w:rsidRPr="00941A37">
        <w:rPr>
          <w:rFonts w:eastAsia="Times New Roman"/>
          <w:b/>
          <w:i/>
          <w:iCs/>
          <w:szCs w:val="24"/>
        </w:rPr>
        <w:t>1</w:t>
      </w:r>
      <w:r w:rsidRPr="00941A37">
        <w:rPr>
          <w:rFonts w:eastAsia="Times New Roman"/>
          <w:szCs w:val="24"/>
        </w:rPr>
        <w:t>(2), 3.</w:t>
      </w:r>
      <w:proofErr w:type="gramEnd"/>
      <w:r w:rsidRPr="00941A37">
        <w:rPr>
          <w:rFonts w:eastAsia="Times New Roman"/>
          <w:szCs w:val="24"/>
        </w:rPr>
        <w:t xml:space="preserve"> </w:t>
      </w:r>
    </w:p>
    <w:p w:rsidR="00963032" w:rsidRPr="00941A37" w:rsidRDefault="00963032" w:rsidP="00941A37">
      <w:pPr>
        <w:spacing w:after="0" w:line="240" w:lineRule="auto"/>
        <w:ind w:left="720" w:hanging="720"/>
        <w:jc w:val="both"/>
        <w:rPr>
          <w:szCs w:val="24"/>
        </w:rPr>
      </w:pPr>
      <w:proofErr w:type="gramStart"/>
      <w:r w:rsidRPr="00941A37">
        <w:rPr>
          <w:rFonts w:eastAsia="Times New Roman"/>
          <w:szCs w:val="24"/>
        </w:rPr>
        <w:t>Steen, L. A., &amp; National Council on Educat</w:t>
      </w:r>
      <w:r w:rsidR="00A84A46" w:rsidRPr="00941A37">
        <w:rPr>
          <w:rFonts w:eastAsia="Times New Roman"/>
          <w:szCs w:val="24"/>
        </w:rPr>
        <w:t>ion and the Disciplines.</w:t>
      </w:r>
      <w:proofErr w:type="gramEnd"/>
      <w:r w:rsidR="00A84A46" w:rsidRPr="00941A37">
        <w:rPr>
          <w:rFonts w:eastAsia="Times New Roman"/>
          <w:szCs w:val="24"/>
        </w:rPr>
        <w:t xml:space="preserve"> (2001)</w:t>
      </w:r>
      <w:r w:rsidRPr="00941A37">
        <w:rPr>
          <w:rFonts w:eastAsia="Times New Roman"/>
          <w:szCs w:val="24"/>
        </w:rPr>
        <w:t> </w:t>
      </w:r>
      <w:r w:rsidRPr="00941A37">
        <w:rPr>
          <w:rFonts w:eastAsia="Times New Roman"/>
          <w:i/>
          <w:iCs/>
          <w:szCs w:val="24"/>
        </w:rPr>
        <w:t>Mathematics and democracy: The case for quantitative literacy</w:t>
      </w:r>
      <w:r w:rsidRPr="00941A37">
        <w:rPr>
          <w:rFonts w:eastAsia="Times New Roman"/>
          <w:szCs w:val="24"/>
        </w:rPr>
        <w:t>. Princeton, N.J.: NCED.</w:t>
      </w:r>
    </w:p>
    <w:p w:rsidR="00466B17" w:rsidRPr="00941A37" w:rsidRDefault="00466B17" w:rsidP="00941A37">
      <w:pPr>
        <w:spacing w:after="0" w:line="240" w:lineRule="auto"/>
        <w:ind w:left="720" w:hanging="720"/>
        <w:jc w:val="both"/>
        <w:rPr>
          <w:rFonts w:eastAsia="Times New Roman"/>
          <w:szCs w:val="24"/>
        </w:rPr>
      </w:pPr>
    </w:p>
    <w:p w:rsidR="006D21C2" w:rsidRPr="00941A37" w:rsidRDefault="006D21C2" w:rsidP="00941A37">
      <w:pPr>
        <w:spacing w:after="0" w:line="240" w:lineRule="auto"/>
        <w:jc w:val="both"/>
        <w:rPr>
          <w:b/>
          <w:szCs w:val="24"/>
        </w:rPr>
      </w:pPr>
    </w:p>
    <w:p w:rsidR="00941A37" w:rsidRPr="00941A37" w:rsidRDefault="00941A37">
      <w:pPr>
        <w:spacing w:after="0" w:line="240" w:lineRule="auto"/>
        <w:jc w:val="both"/>
        <w:rPr>
          <w:b/>
          <w:szCs w:val="24"/>
        </w:rPr>
      </w:pPr>
    </w:p>
    <w:sectPr w:rsidR="00941A37" w:rsidRPr="00941A37" w:rsidSect="0057696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317" w:rsidRDefault="008E7317" w:rsidP="008D11D5">
      <w:pPr>
        <w:spacing w:after="0" w:line="240" w:lineRule="auto"/>
      </w:pPr>
      <w:r>
        <w:separator/>
      </w:r>
    </w:p>
  </w:endnote>
  <w:endnote w:type="continuationSeparator" w:id="0">
    <w:p w:rsidR="008E7317" w:rsidRDefault="008E7317" w:rsidP="008D1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317" w:rsidRDefault="008E7317" w:rsidP="008D11D5">
      <w:pPr>
        <w:spacing w:after="0" w:line="240" w:lineRule="auto"/>
      </w:pPr>
      <w:r>
        <w:separator/>
      </w:r>
    </w:p>
  </w:footnote>
  <w:footnote w:type="continuationSeparator" w:id="0">
    <w:p w:rsidR="008E7317" w:rsidRDefault="008E7317" w:rsidP="008D1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536B2"/>
    <w:multiLevelType w:val="multilevel"/>
    <w:tmpl w:val="192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63BFF"/>
    <w:multiLevelType w:val="multilevel"/>
    <w:tmpl w:val="DFCE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E66AB"/>
    <w:multiLevelType w:val="multilevel"/>
    <w:tmpl w:val="140A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C6A54"/>
    <w:multiLevelType w:val="multilevel"/>
    <w:tmpl w:val="E6C8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B2AE1"/>
    <w:multiLevelType w:val="multilevel"/>
    <w:tmpl w:val="6D3C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2B5725"/>
    <w:multiLevelType w:val="multilevel"/>
    <w:tmpl w:val="DBFE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07288"/>
    <w:multiLevelType w:val="hybridMultilevel"/>
    <w:tmpl w:val="11FC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9E625F"/>
    <w:multiLevelType w:val="multilevel"/>
    <w:tmpl w:val="5DBE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764CE"/>
    <w:multiLevelType w:val="multilevel"/>
    <w:tmpl w:val="D936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E1108E"/>
    <w:multiLevelType w:val="multilevel"/>
    <w:tmpl w:val="A38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935E71"/>
    <w:multiLevelType w:val="multilevel"/>
    <w:tmpl w:val="E36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E1783D"/>
    <w:multiLevelType w:val="multilevel"/>
    <w:tmpl w:val="F7B8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53E8E"/>
    <w:multiLevelType w:val="multilevel"/>
    <w:tmpl w:val="2BD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9"/>
  </w:num>
  <w:num w:numId="5">
    <w:abstractNumId w:val="11"/>
  </w:num>
  <w:num w:numId="6">
    <w:abstractNumId w:val="2"/>
  </w:num>
  <w:num w:numId="7">
    <w:abstractNumId w:val="12"/>
  </w:num>
  <w:num w:numId="8">
    <w:abstractNumId w:val="7"/>
  </w:num>
  <w:num w:numId="9">
    <w:abstractNumId w:val="6"/>
  </w:num>
  <w:num w:numId="10">
    <w:abstractNumId w:val="0"/>
  </w:num>
  <w:num w:numId="11">
    <w:abstractNumId w:val="3"/>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E05031"/>
    <w:rsid w:val="00000ED8"/>
    <w:rsid w:val="000021A9"/>
    <w:rsid w:val="00004ED9"/>
    <w:rsid w:val="00005599"/>
    <w:rsid w:val="0000617E"/>
    <w:rsid w:val="0001054A"/>
    <w:rsid w:val="00010F4B"/>
    <w:rsid w:val="000110E0"/>
    <w:rsid w:val="00012E4F"/>
    <w:rsid w:val="00014AC6"/>
    <w:rsid w:val="00015457"/>
    <w:rsid w:val="00016691"/>
    <w:rsid w:val="00017E91"/>
    <w:rsid w:val="00020A81"/>
    <w:rsid w:val="00020CD4"/>
    <w:rsid w:val="00021178"/>
    <w:rsid w:val="00023079"/>
    <w:rsid w:val="00023B11"/>
    <w:rsid w:val="000241E8"/>
    <w:rsid w:val="00027C96"/>
    <w:rsid w:val="00030501"/>
    <w:rsid w:val="00030FC5"/>
    <w:rsid w:val="00033538"/>
    <w:rsid w:val="00036CF3"/>
    <w:rsid w:val="00044D19"/>
    <w:rsid w:val="0004796E"/>
    <w:rsid w:val="0005152B"/>
    <w:rsid w:val="00053190"/>
    <w:rsid w:val="00053444"/>
    <w:rsid w:val="00053C5E"/>
    <w:rsid w:val="000553C6"/>
    <w:rsid w:val="0005588C"/>
    <w:rsid w:val="0005643D"/>
    <w:rsid w:val="0005654B"/>
    <w:rsid w:val="0006040F"/>
    <w:rsid w:val="0006382E"/>
    <w:rsid w:val="000673AE"/>
    <w:rsid w:val="0006794F"/>
    <w:rsid w:val="00067CC2"/>
    <w:rsid w:val="000705E1"/>
    <w:rsid w:val="00071B0E"/>
    <w:rsid w:val="00072151"/>
    <w:rsid w:val="000728FD"/>
    <w:rsid w:val="00074AF2"/>
    <w:rsid w:val="0007597F"/>
    <w:rsid w:val="00076C8D"/>
    <w:rsid w:val="00077D19"/>
    <w:rsid w:val="000807F8"/>
    <w:rsid w:val="000808DE"/>
    <w:rsid w:val="00080C04"/>
    <w:rsid w:val="00085158"/>
    <w:rsid w:val="000859DD"/>
    <w:rsid w:val="000901DE"/>
    <w:rsid w:val="00091777"/>
    <w:rsid w:val="000941A3"/>
    <w:rsid w:val="000A2334"/>
    <w:rsid w:val="000A2527"/>
    <w:rsid w:val="000A25E5"/>
    <w:rsid w:val="000A5017"/>
    <w:rsid w:val="000A76B8"/>
    <w:rsid w:val="000B0278"/>
    <w:rsid w:val="000B0B4F"/>
    <w:rsid w:val="000B1B9F"/>
    <w:rsid w:val="000B4C5C"/>
    <w:rsid w:val="000B64CF"/>
    <w:rsid w:val="000B70B2"/>
    <w:rsid w:val="000B748D"/>
    <w:rsid w:val="000C0224"/>
    <w:rsid w:val="000C1DC7"/>
    <w:rsid w:val="000C2BD1"/>
    <w:rsid w:val="000C4A74"/>
    <w:rsid w:val="000C5381"/>
    <w:rsid w:val="000C559B"/>
    <w:rsid w:val="000C6281"/>
    <w:rsid w:val="000C76F7"/>
    <w:rsid w:val="000D3EA7"/>
    <w:rsid w:val="000D4023"/>
    <w:rsid w:val="000D65C7"/>
    <w:rsid w:val="000D796E"/>
    <w:rsid w:val="000E34C1"/>
    <w:rsid w:val="000E3D78"/>
    <w:rsid w:val="000E54BA"/>
    <w:rsid w:val="000E6E7E"/>
    <w:rsid w:val="000F02FD"/>
    <w:rsid w:val="000F35BC"/>
    <w:rsid w:val="000F6F8A"/>
    <w:rsid w:val="00101125"/>
    <w:rsid w:val="001013DC"/>
    <w:rsid w:val="00101488"/>
    <w:rsid w:val="001029B7"/>
    <w:rsid w:val="00102B8A"/>
    <w:rsid w:val="00105D49"/>
    <w:rsid w:val="00106B0B"/>
    <w:rsid w:val="00111317"/>
    <w:rsid w:val="001117A6"/>
    <w:rsid w:val="00111A27"/>
    <w:rsid w:val="001124C0"/>
    <w:rsid w:val="001133CA"/>
    <w:rsid w:val="00113442"/>
    <w:rsid w:val="001139E8"/>
    <w:rsid w:val="0011429C"/>
    <w:rsid w:val="00114CAC"/>
    <w:rsid w:val="00121CC8"/>
    <w:rsid w:val="001230DC"/>
    <w:rsid w:val="001234F5"/>
    <w:rsid w:val="001251CE"/>
    <w:rsid w:val="001303BE"/>
    <w:rsid w:val="001328F3"/>
    <w:rsid w:val="001345F9"/>
    <w:rsid w:val="001354A7"/>
    <w:rsid w:val="0013631D"/>
    <w:rsid w:val="0014371A"/>
    <w:rsid w:val="00145D64"/>
    <w:rsid w:val="00146A46"/>
    <w:rsid w:val="001473C9"/>
    <w:rsid w:val="00147414"/>
    <w:rsid w:val="00147532"/>
    <w:rsid w:val="00147884"/>
    <w:rsid w:val="001517F1"/>
    <w:rsid w:val="0015303A"/>
    <w:rsid w:val="0015372E"/>
    <w:rsid w:val="00154F9A"/>
    <w:rsid w:val="00156854"/>
    <w:rsid w:val="0016108F"/>
    <w:rsid w:val="00161F31"/>
    <w:rsid w:val="001628A5"/>
    <w:rsid w:val="00163752"/>
    <w:rsid w:val="001639FC"/>
    <w:rsid w:val="001641AD"/>
    <w:rsid w:val="001667DC"/>
    <w:rsid w:val="00167102"/>
    <w:rsid w:val="00171838"/>
    <w:rsid w:val="0017266F"/>
    <w:rsid w:val="001743A4"/>
    <w:rsid w:val="001764A9"/>
    <w:rsid w:val="00182B1D"/>
    <w:rsid w:val="00182D0B"/>
    <w:rsid w:val="00183642"/>
    <w:rsid w:val="0018415D"/>
    <w:rsid w:val="00186735"/>
    <w:rsid w:val="00186A85"/>
    <w:rsid w:val="00187A07"/>
    <w:rsid w:val="00190040"/>
    <w:rsid w:val="00190867"/>
    <w:rsid w:val="00190A95"/>
    <w:rsid w:val="00191BD1"/>
    <w:rsid w:val="00193466"/>
    <w:rsid w:val="00194BAF"/>
    <w:rsid w:val="001966E4"/>
    <w:rsid w:val="001966EF"/>
    <w:rsid w:val="001973C7"/>
    <w:rsid w:val="00197ED6"/>
    <w:rsid w:val="001A0603"/>
    <w:rsid w:val="001A6ED4"/>
    <w:rsid w:val="001A70C0"/>
    <w:rsid w:val="001C1C91"/>
    <w:rsid w:val="001C42F3"/>
    <w:rsid w:val="001C4794"/>
    <w:rsid w:val="001C6F72"/>
    <w:rsid w:val="001C72C8"/>
    <w:rsid w:val="001D1FD8"/>
    <w:rsid w:val="001D44BD"/>
    <w:rsid w:val="001D4958"/>
    <w:rsid w:val="001D526C"/>
    <w:rsid w:val="001D5B7C"/>
    <w:rsid w:val="001D5E93"/>
    <w:rsid w:val="001E042A"/>
    <w:rsid w:val="001E1D95"/>
    <w:rsid w:val="001E539F"/>
    <w:rsid w:val="001F0D60"/>
    <w:rsid w:val="001F1EA8"/>
    <w:rsid w:val="001F21F4"/>
    <w:rsid w:val="001F27A0"/>
    <w:rsid w:val="001F4FDF"/>
    <w:rsid w:val="001F65AD"/>
    <w:rsid w:val="0020030D"/>
    <w:rsid w:val="002007B2"/>
    <w:rsid w:val="00201512"/>
    <w:rsid w:val="00203DF7"/>
    <w:rsid w:val="00204132"/>
    <w:rsid w:val="00206361"/>
    <w:rsid w:val="0020795E"/>
    <w:rsid w:val="00211180"/>
    <w:rsid w:val="00211244"/>
    <w:rsid w:val="0021174F"/>
    <w:rsid w:val="00211FD7"/>
    <w:rsid w:val="00213722"/>
    <w:rsid w:val="00215293"/>
    <w:rsid w:val="00216F34"/>
    <w:rsid w:val="0022122C"/>
    <w:rsid w:val="0022640C"/>
    <w:rsid w:val="00227E09"/>
    <w:rsid w:val="0023067E"/>
    <w:rsid w:val="00231DBE"/>
    <w:rsid w:val="00233186"/>
    <w:rsid w:val="00234A9A"/>
    <w:rsid w:val="002373B4"/>
    <w:rsid w:val="002401C3"/>
    <w:rsid w:val="0024070A"/>
    <w:rsid w:val="0024110E"/>
    <w:rsid w:val="00244A35"/>
    <w:rsid w:val="00246714"/>
    <w:rsid w:val="002475AD"/>
    <w:rsid w:val="00247BEA"/>
    <w:rsid w:val="00252EA7"/>
    <w:rsid w:val="002535F6"/>
    <w:rsid w:val="00254E50"/>
    <w:rsid w:val="00255187"/>
    <w:rsid w:val="00256592"/>
    <w:rsid w:val="0026178E"/>
    <w:rsid w:val="00263CBB"/>
    <w:rsid w:val="002647B6"/>
    <w:rsid w:val="00265D24"/>
    <w:rsid w:val="00273662"/>
    <w:rsid w:val="00276DBA"/>
    <w:rsid w:val="002778AE"/>
    <w:rsid w:val="0028077E"/>
    <w:rsid w:val="00280857"/>
    <w:rsid w:val="0028238E"/>
    <w:rsid w:val="002832B1"/>
    <w:rsid w:val="00285820"/>
    <w:rsid w:val="00287DB4"/>
    <w:rsid w:val="00290A91"/>
    <w:rsid w:val="00290DF2"/>
    <w:rsid w:val="00291AC0"/>
    <w:rsid w:val="00291CA2"/>
    <w:rsid w:val="0029217C"/>
    <w:rsid w:val="0029347E"/>
    <w:rsid w:val="00293896"/>
    <w:rsid w:val="002961C9"/>
    <w:rsid w:val="00296419"/>
    <w:rsid w:val="0029695F"/>
    <w:rsid w:val="002A125E"/>
    <w:rsid w:val="002A4759"/>
    <w:rsid w:val="002A53E3"/>
    <w:rsid w:val="002A6CD7"/>
    <w:rsid w:val="002A7316"/>
    <w:rsid w:val="002A76C9"/>
    <w:rsid w:val="002B1F3D"/>
    <w:rsid w:val="002B6BC3"/>
    <w:rsid w:val="002B70B0"/>
    <w:rsid w:val="002B7652"/>
    <w:rsid w:val="002C1D28"/>
    <w:rsid w:val="002C454D"/>
    <w:rsid w:val="002C7D57"/>
    <w:rsid w:val="002D2983"/>
    <w:rsid w:val="002D5B1A"/>
    <w:rsid w:val="002D75AD"/>
    <w:rsid w:val="002E1DEC"/>
    <w:rsid w:val="002E2D40"/>
    <w:rsid w:val="002E3386"/>
    <w:rsid w:val="002E362A"/>
    <w:rsid w:val="002E3EB8"/>
    <w:rsid w:val="002E5D9B"/>
    <w:rsid w:val="002E681E"/>
    <w:rsid w:val="002E76C3"/>
    <w:rsid w:val="002F18AD"/>
    <w:rsid w:val="002F2AA9"/>
    <w:rsid w:val="002F4698"/>
    <w:rsid w:val="002F4A59"/>
    <w:rsid w:val="0030651C"/>
    <w:rsid w:val="0030661D"/>
    <w:rsid w:val="003072B9"/>
    <w:rsid w:val="003102D0"/>
    <w:rsid w:val="00311762"/>
    <w:rsid w:val="00316C7A"/>
    <w:rsid w:val="00317705"/>
    <w:rsid w:val="00321C4B"/>
    <w:rsid w:val="00321C96"/>
    <w:rsid w:val="003225B8"/>
    <w:rsid w:val="00327C1B"/>
    <w:rsid w:val="003306D6"/>
    <w:rsid w:val="00330A8A"/>
    <w:rsid w:val="0033100F"/>
    <w:rsid w:val="00337888"/>
    <w:rsid w:val="00337B0F"/>
    <w:rsid w:val="003478B7"/>
    <w:rsid w:val="00350BE1"/>
    <w:rsid w:val="00352028"/>
    <w:rsid w:val="00360225"/>
    <w:rsid w:val="0036434D"/>
    <w:rsid w:val="00364649"/>
    <w:rsid w:val="00364E53"/>
    <w:rsid w:val="00371229"/>
    <w:rsid w:val="003719ED"/>
    <w:rsid w:val="00374E7E"/>
    <w:rsid w:val="0037747D"/>
    <w:rsid w:val="003803ED"/>
    <w:rsid w:val="00381165"/>
    <w:rsid w:val="00383D30"/>
    <w:rsid w:val="00384755"/>
    <w:rsid w:val="00385DE8"/>
    <w:rsid w:val="00385E25"/>
    <w:rsid w:val="00385FBB"/>
    <w:rsid w:val="00387D18"/>
    <w:rsid w:val="00393BF6"/>
    <w:rsid w:val="0039400D"/>
    <w:rsid w:val="003950C8"/>
    <w:rsid w:val="00395D94"/>
    <w:rsid w:val="003963A0"/>
    <w:rsid w:val="003A26EB"/>
    <w:rsid w:val="003A440D"/>
    <w:rsid w:val="003A565F"/>
    <w:rsid w:val="003B02D3"/>
    <w:rsid w:val="003B15CA"/>
    <w:rsid w:val="003B2413"/>
    <w:rsid w:val="003B45DC"/>
    <w:rsid w:val="003B4FBF"/>
    <w:rsid w:val="003B5264"/>
    <w:rsid w:val="003C045E"/>
    <w:rsid w:val="003C0CBF"/>
    <w:rsid w:val="003C12BC"/>
    <w:rsid w:val="003C5B44"/>
    <w:rsid w:val="003C732F"/>
    <w:rsid w:val="003C7C8D"/>
    <w:rsid w:val="003D29FC"/>
    <w:rsid w:val="003D3337"/>
    <w:rsid w:val="003D40B6"/>
    <w:rsid w:val="003D470D"/>
    <w:rsid w:val="003D61AF"/>
    <w:rsid w:val="003D68E1"/>
    <w:rsid w:val="003E0C25"/>
    <w:rsid w:val="003E11E3"/>
    <w:rsid w:val="003E2043"/>
    <w:rsid w:val="003E6976"/>
    <w:rsid w:val="003E7910"/>
    <w:rsid w:val="003F1E72"/>
    <w:rsid w:val="003F55AB"/>
    <w:rsid w:val="003F75BC"/>
    <w:rsid w:val="004021A7"/>
    <w:rsid w:val="00405998"/>
    <w:rsid w:val="00406BF8"/>
    <w:rsid w:val="004128B3"/>
    <w:rsid w:val="004224A0"/>
    <w:rsid w:val="00422719"/>
    <w:rsid w:val="00426D1C"/>
    <w:rsid w:val="004272F8"/>
    <w:rsid w:val="00427A32"/>
    <w:rsid w:val="00431138"/>
    <w:rsid w:val="0043174A"/>
    <w:rsid w:val="004327FF"/>
    <w:rsid w:val="00432EF4"/>
    <w:rsid w:val="004343C6"/>
    <w:rsid w:val="004371D5"/>
    <w:rsid w:val="00440BA9"/>
    <w:rsid w:val="004411C2"/>
    <w:rsid w:val="004416B3"/>
    <w:rsid w:val="00442C03"/>
    <w:rsid w:val="00442FF6"/>
    <w:rsid w:val="00446514"/>
    <w:rsid w:val="00446A51"/>
    <w:rsid w:val="004478CA"/>
    <w:rsid w:val="00447F7E"/>
    <w:rsid w:val="0045065E"/>
    <w:rsid w:val="00453C8D"/>
    <w:rsid w:val="004559A5"/>
    <w:rsid w:val="00463A91"/>
    <w:rsid w:val="00463FFB"/>
    <w:rsid w:val="004645CE"/>
    <w:rsid w:val="00466B17"/>
    <w:rsid w:val="0046787B"/>
    <w:rsid w:val="00475F9D"/>
    <w:rsid w:val="00477A37"/>
    <w:rsid w:val="00482995"/>
    <w:rsid w:val="00483A9A"/>
    <w:rsid w:val="0048426C"/>
    <w:rsid w:val="00484DF6"/>
    <w:rsid w:val="00485B1D"/>
    <w:rsid w:val="00491388"/>
    <w:rsid w:val="00491652"/>
    <w:rsid w:val="0049193F"/>
    <w:rsid w:val="004929F7"/>
    <w:rsid w:val="0049509C"/>
    <w:rsid w:val="004955D1"/>
    <w:rsid w:val="004A089C"/>
    <w:rsid w:val="004A0FAC"/>
    <w:rsid w:val="004A2D86"/>
    <w:rsid w:val="004A74EA"/>
    <w:rsid w:val="004A76C0"/>
    <w:rsid w:val="004A7895"/>
    <w:rsid w:val="004A7D57"/>
    <w:rsid w:val="004B0F53"/>
    <w:rsid w:val="004B492C"/>
    <w:rsid w:val="004B77B7"/>
    <w:rsid w:val="004B7A35"/>
    <w:rsid w:val="004C0478"/>
    <w:rsid w:val="004C0B38"/>
    <w:rsid w:val="004C1080"/>
    <w:rsid w:val="004C190F"/>
    <w:rsid w:val="004C51C3"/>
    <w:rsid w:val="004C5574"/>
    <w:rsid w:val="004C55B7"/>
    <w:rsid w:val="004C5CEF"/>
    <w:rsid w:val="004C6D66"/>
    <w:rsid w:val="004D01CB"/>
    <w:rsid w:val="004D031E"/>
    <w:rsid w:val="004D0ED4"/>
    <w:rsid w:val="004D219C"/>
    <w:rsid w:val="004D2CA9"/>
    <w:rsid w:val="004D37B2"/>
    <w:rsid w:val="004D661E"/>
    <w:rsid w:val="004D7A27"/>
    <w:rsid w:val="004D7FAE"/>
    <w:rsid w:val="004E074D"/>
    <w:rsid w:val="004E3FF1"/>
    <w:rsid w:val="004E7DBD"/>
    <w:rsid w:val="004F5446"/>
    <w:rsid w:val="004F6D04"/>
    <w:rsid w:val="00500028"/>
    <w:rsid w:val="00501ACD"/>
    <w:rsid w:val="005059E6"/>
    <w:rsid w:val="00510BAE"/>
    <w:rsid w:val="005128B3"/>
    <w:rsid w:val="00514DD0"/>
    <w:rsid w:val="00515977"/>
    <w:rsid w:val="00520243"/>
    <w:rsid w:val="005227BE"/>
    <w:rsid w:val="005231BD"/>
    <w:rsid w:val="00523792"/>
    <w:rsid w:val="005303E7"/>
    <w:rsid w:val="0053228F"/>
    <w:rsid w:val="005326DF"/>
    <w:rsid w:val="00541B10"/>
    <w:rsid w:val="0054366F"/>
    <w:rsid w:val="005503D5"/>
    <w:rsid w:val="00552637"/>
    <w:rsid w:val="00556431"/>
    <w:rsid w:val="00563095"/>
    <w:rsid w:val="00565D26"/>
    <w:rsid w:val="005661FF"/>
    <w:rsid w:val="00567197"/>
    <w:rsid w:val="005679D1"/>
    <w:rsid w:val="00570948"/>
    <w:rsid w:val="00573B22"/>
    <w:rsid w:val="00573D71"/>
    <w:rsid w:val="00575FB0"/>
    <w:rsid w:val="005761C1"/>
    <w:rsid w:val="00576965"/>
    <w:rsid w:val="00576E0D"/>
    <w:rsid w:val="00577FCC"/>
    <w:rsid w:val="00580EAE"/>
    <w:rsid w:val="00581F0A"/>
    <w:rsid w:val="0058266D"/>
    <w:rsid w:val="00594E26"/>
    <w:rsid w:val="0059577A"/>
    <w:rsid w:val="0059728A"/>
    <w:rsid w:val="005A720F"/>
    <w:rsid w:val="005B57FF"/>
    <w:rsid w:val="005B5C8C"/>
    <w:rsid w:val="005B6091"/>
    <w:rsid w:val="005C15C3"/>
    <w:rsid w:val="005C16CF"/>
    <w:rsid w:val="005C34E8"/>
    <w:rsid w:val="005C4338"/>
    <w:rsid w:val="005C5586"/>
    <w:rsid w:val="005C5912"/>
    <w:rsid w:val="005C5AC4"/>
    <w:rsid w:val="005C5BD4"/>
    <w:rsid w:val="005C7168"/>
    <w:rsid w:val="005D042F"/>
    <w:rsid w:val="005D320D"/>
    <w:rsid w:val="005D5E4A"/>
    <w:rsid w:val="005D65D1"/>
    <w:rsid w:val="005E1FE9"/>
    <w:rsid w:val="005E2022"/>
    <w:rsid w:val="005E40A9"/>
    <w:rsid w:val="005E577B"/>
    <w:rsid w:val="005E6669"/>
    <w:rsid w:val="005E6A60"/>
    <w:rsid w:val="005E6F4E"/>
    <w:rsid w:val="005F0C76"/>
    <w:rsid w:val="005F1654"/>
    <w:rsid w:val="005F62B3"/>
    <w:rsid w:val="006003B9"/>
    <w:rsid w:val="00601ADF"/>
    <w:rsid w:val="0061382C"/>
    <w:rsid w:val="00614E32"/>
    <w:rsid w:val="00623E43"/>
    <w:rsid w:val="00625B8D"/>
    <w:rsid w:val="0063072D"/>
    <w:rsid w:val="006310A9"/>
    <w:rsid w:val="00632F00"/>
    <w:rsid w:val="00636F71"/>
    <w:rsid w:val="0064060C"/>
    <w:rsid w:val="00641376"/>
    <w:rsid w:val="00642375"/>
    <w:rsid w:val="00643E03"/>
    <w:rsid w:val="00647778"/>
    <w:rsid w:val="00651113"/>
    <w:rsid w:val="00652DC8"/>
    <w:rsid w:val="00653918"/>
    <w:rsid w:val="00662238"/>
    <w:rsid w:val="0066292D"/>
    <w:rsid w:val="00664ADC"/>
    <w:rsid w:val="0066677A"/>
    <w:rsid w:val="0067063E"/>
    <w:rsid w:val="006727C2"/>
    <w:rsid w:val="00685976"/>
    <w:rsid w:val="00686A54"/>
    <w:rsid w:val="00690619"/>
    <w:rsid w:val="006922CA"/>
    <w:rsid w:val="00693A75"/>
    <w:rsid w:val="00693C8B"/>
    <w:rsid w:val="00695FA4"/>
    <w:rsid w:val="006A4257"/>
    <w:rsid w:val="006A503A"/>
    <w:rsid w:val="006A7D25"/>
    <w:rsid w:val="006B18E4"/>
    <w:rsid w:val="006B431A"/>
    <w:rsid w:val="006B61B4"/>
    <w:rsid w:val="006C1367"/>
    <w:rsid w:val="006C6663"/>
    <w:rsid w:val="006C68E2"/>
    <w:rsid w:val="006D21C2"/>
    <w:rsid w:val="006D47A7"/>
    <w:rsid w:val="006D5466"/>
    <w:rsid w:val="006E00F7"/>
    <w:rsid w:val="00701478"/>
    <w:rsid w:val="00701911"/>
    <w:rsid w:val="00703A16"/>
    <w:rsid w:val="00707759"/>
    <w:rsid w:val="00715CCE"/>
    <w:rsid w:val="00716225"/>
    <w:rsid w:val="007208B5"/>
    <w:rsid w:val="007219D9"/>
    <w:rsid w:val="00725DCB"/>
    <w:rsid w:val="00732004"/>
    <w:rsid w:val="007339FE"/>
    <w:rsid w:val="00736468"/>
    <w:rsid w:val="00736753"/>
    <w:rsid w:val="00737E8B"/>
    <w:rsid w:val="00740189"/>
    <w:rsid w:val="007401AB"/>
    <w:rsid w:val="00746FAC"/>
    <w:rsid w:val="00747E5E"/>
    <w:rsid w:val="0075054B"/>
    <w:rsid w:val="007505C3"/>
    <w:rsid w:val="00751531"/>
    <w:rsid w:val="00751C48"/>
    <w:rsid w:val="00753DF2"/>
    <w:rsid w:val="00756087"/>
    <w:rsid w:val="0075710C"/>
    <w:rsid w:val="007601E0"/>
    <w:rsid w:val="00760A1F"/>
    <w:rsid w:val="00762353"/>
    <w:rsid w:val="00762B40"/>
    <w:rsid w:val="007647EF"/>
    <w:rsid w:val="00765040"/>
    <w:rsid w:val="00767443"/>
    <w:rsid w:val="00770378"/>
    <w:rsid w:val="007725D0"/>
    <w:rsid w:val="007742CB"/>
    <w:rsid w:val="00775BD0"/>
    <w:rsid w:val="00782929"/>
    <w:rsid w:val="007858F8"/>
    <w:rsid w:val="00785B4C"/>
    <w:rsid w:val="00785C6B"/>
    <w:rsid w:val="00785FA9"/>
    <w:rsid w:val="0078796A"/>
    <w:rsid w:val="00790DB1"/>
    <w:rsid w:val="007953F1"/>
    <w:rsid w:val="007965E1"/>
    <w:rsid w:val="007969BB"/>
    <w:rsid w:val="00797F9C"/>
    <w:rsid w:val="007A281B"/>
    <w:rsid w:val="007A3EF1"/>
    <w:rsid w:val="007A52B3"/>
    <w:rsid w:val="007B06D9"/>
    <w:rsid w:val="007B1175"/>
    <w:rsid w:val="007B3D44"/>
    <w:rsid w:val="007B4DAB"/>
    <w:rsid w:val="007B5FA1"/>
    <w:rsid w:val="007C057C"/>
    <w:rsid w:val="007C2834"/>
    <w:rsid w:val="007D0043"/>
    <w:rsid w:val="007D26EA"/>
    <w:rsid w:val="007D3DEF"/>
    <w:rsid w:val="007D52A6"/>
    <w:rsid w:val="007D65B5"/>
    <w:rsid w:val="007D71E0"/>
    <w:rsid w:val="007E13DF"/>
    <w:rsid w:val="007E35E9"/>
    <w:rsid w:val="007E3604"/>
    <w:rsid w:val="007E4551"/>
    <w:rsid w:val="007E6AFD"/>
    <w:rsid w:val="007F0967"/>
    <w:rsid w:val="007F614E"/>
    <w:rsid w:val="00800367"/>
    <w:rsid w:val="00801B7B"/>
    <w:rsid w:val="00803C09"/>
    <w:rsid w:val="00811B90"/>
    <w:rsid w:val="0081644F"/>
    <w:rsid w:val="008203C7"/>
    <w:rsid w:val="00820F41"/>
    <w:rsid w:val="0082182E"/>
    <w:rsid w:val="0082259B"/>
    <w:rsid w:val="00822BD2"/>
    <w:rsid w:val="0082335E"/>
    <w:rsid w:val="00824E9C"/>
    <w:rsid w:val="00825CFE"/>
    <w:rsid w:val="00833EDB"/>
    <w:rsid w:val="00834DA5"/>
    <w:rsid w:val="0085016A"/>
    <w:rsid w:val="00850B50"/>
    <w:rsid w:val="00851687"/>
    <w:rsid w:val="0085334F"/>
    <w:rsid w:val="00853783"/>
    <w:rsid w:val="008600B3"/>
    <w:rsid w:val="00860943"/>
    <w:rsid w:val="00862AEC"/>
    <w:rsid w:val="0086454D"/>
    <w:rsid w:val="00866D30"/>
    <w:rsid w:val="008675BD"/>
    <w:rsid w:val="008700A4"/>
    <w:rsid w:val="00872B4E"/>
    <w:rsid w:val="00876409"/>
    <w:rsid w:val="00880AFE"/>
    <w:rsid w:val="0088114E"/>
    <w:rsid w:val="008824FA"/>
    <w:rsid w:val="008838DB"/>
    <w:rsid w:val="00883949"/>
    <w:rsid w:val="00886E9F"/>
    <w:rsid w:val="00887106"/>
    <w:rsid w:val="008872B7"/>
    <w:rsid w:val="00890AEC"/>
    <w:rsid w:val="00891504"/>
    <w:rsid w:val="00892C40"/>
    <w:rsid w:val="00893047"/>
    <w:rsid w:val="00895A61"/>
    <w:rsid w:val="0089613F"/>
    <w:rsid w:val="00896B57"/>
    <w:rsid w:val="008A058A"/>
    <w:rsid w:val="008A44A8"/>
    <w:rsid w:val="008A48BC"/>
    <w:rsid w:val="008A5A31"/>
    <w:rsid w:val="008A7C27"/>
    <w:rsid w:val="008B3A91"/>
    <w:rsid w:val="008B4FB5"/>
    <w:rsid w:val="008B5E3C"/>
    <w:rsid w:val="008C05A1"/>
    <w:rsid w:val="008C18B9"/>
    <w:rsid w:val="008C2DF9"/>
    <w:rsid w:val="008C478F"/>
    <w:rsid w:val="008C4C5B"/>
    <w:rsid w:val="008C6322"/>
    <w:rsid w:val="008C67EB"/>
    <w:rsid w:val="008C7211"/>
    <w:rsid w:val="008D11D5"/>
    <w:rsid w:val="008D1605"/>
    <w:rsid w:val="008D32A0"/>
    <w:rsid w:val="008D6390"/>
    <w:rsid w:val="008D771B"/>
    <w:rsid w:val="008E1669"/>
    <w:rsid w:val="008E2F3D"/>
    <w:rsid w:val="008E401B"/>
    <w:rsid w:val="008E5198"/>
    <w:rsid w:val="008E62CE"/>
    <w:rsid w:val="008E7317"/>
    <w:rsid w:val="008F0533"/>
    <w:rsid w:val="008F1F74"/>
    <w:rsid w:val="008F3BBA"/>
    <w:rsid w:val="008F3FBC"/>
    <w:rsid w:val="008F41D7"/>
    <w:rsid w:val="008F5C47"/>
    <w:rsid w:val="008F6C8C"/>
    <w:rsid w:val="0090011E"/>
    <w:rsid w:val="0090582C"/>
    <w:rsid w:val="00905CCD"/>
    <w:rsid w:val="0090627E"/>
    <w:rsid w:val="00906CFC"/>
    <w:rsid w:val="00907689"/>
    <w:rsid w:val="00911A60"/>
    <w:rsid w:val="00912DD3"/>
    <w:rsid w:val="00913052"/>
    <w:rsid w:val="00913986"/>
    <w:rsid w:val="00916403"/>
    <w:rsid w:val="00921AA6"/>
    <w:rsid w:val="00921AD9"/>
    <w:rsid w:val="009329E8"/>
    <w:rsid w:val="00933CDE"/>
    <w:rsid w:val="009357FE"/>
    <w:rsid w:val="00937210"/>
    <w:rsid w:val="00937559"/>
    <w:rsid w:val="00941A37"/>
    <w:rsid w:val="00944E3B"/>
    <w:rsid w:val="00945809"/>
    <w:rsid w:val="00945CFE"/>
    <w:rsid w:val="0094696D"/>
    <w:rsid w:val="00952A54"/>
    <w:rsid w:val="0095631B"/>
    <w:rsid w:val="00956333"/>
    <w:rsid w:val="00956900"/>
    <w:rsid w:val="0095699F"/>
    <w:rsid w:val="0095783E"/>
    <w:rsid w:val="00963032"/>
    <w:rsid w:val="00963E08"/>
    <w:rsid w:val="0097057A"/>
    <w:rsid w:val="00970FC5"/>
    <w:rsid w:val="009710BA"/>
    <w:rsid w:val="009725D8"/>
    <w:rsid w:val="00973EB1"/>
    <w:rsid w:val="009821CA"/>
    <w:rsid w:val="00982E87"/>
    <w:rsid w:val="00985A6B"/>
    <w:rsid w:val="00986897"/>
    <w:rsid w:val="00990D25"/>
    <w:rsid w:val="00991ACE"/>
    <w:rsid w:val="00991B3B"/>
    <w:rsid w:val="00991F3D"/>
    <w:rsid w:val="0099352C"/>
    <w:rsid w:val="009942F3"/>
    <w:rsid w:val="00994980"/>
    <w:rsid w:val="009A34D7"/>
    <w:rsid w:val="009A3F7C"/>
    <w:rsid w:val="009A5751"/>
    <w:rsid w:val="009B03E1"/>
    <w:rsid w:val="009B1037"/>
    <w:rsid w:val="009B1428"/>
    <w:rsid w:val="009B1C94"/>
    <w:rsid w:val="009B2FCD"/>
    <w:rsid w:val="009B4495"/>
    <w:rsid w:val="009B653F"/>
    <w:rsid w:val="009B708E"/>
    <w:rsid w:val="009C21B7"/>
    <w:rsid w:val="009C24F0"/>
    <w:rsid w:val="009C286E"/>
    <w:rsid w:val="009C29F3"/>
    <w:rsid w:val="009C32AF"/>
    <w:rsid w:val="009C3A00"/>
    <w:rsid w:val="009C4CB5"/>
    <w:rsid w:val="009C608B"/>
    <w:rsid w:val="009D7B80"/>
    <w:rsid w:val="009E1287"/>
    <w:rsid w:val="009E4B4F"/>
    <w:rsid w:val="009E57C8"/>
    <w:rsid w:val="009E68C6"/>
    <w:rsid w:val="009E6924"/>
    <w:rsid w:val="009F3031"/>
    <w:rsid w:val="009F33E8"/>
    <w:rsid w:val="009F4AD0"/>
    <w:rsid w:val="009F6449"/>
    <w:rsid w:val="009F72F7"/>
    <w:rsid w:val="00A0015D"/>
    <w:rsid w:val="00A010D9"/>
    <w:rsid w:val="00A01623"/>
    <w:rsid w:val="00A02EA1"/>
    <w:rsid w:val="00A033A6"/>
    <w:rsid w:val="00A03818"/>
    <w:rsid w:val="00A03920"/>
    <w:rsid w:val="00A06736"/>
    <w:rsid w:val="00A125A0"/>
    <w:rsid w:val="00A129AC"/>
    <w:rsid w:val="00A147E1"/>
    <w:rsid w:val="00A15DA7"/>
    <w:rsid w:val="00A15FAF"/>
    <w:rsid w:val="00A16BF3"/>
    <w:rsid w:val="00A219E1"/>
    <w:rsid w:val="00A22974"/>
    <w:rsid w:val="00A22A96"/>
    <w:rsid w:val="00A232DE"/>
    <w:rsid w:val="00A23EBE"/>
    <w:rsid w:val="00A251B5"/>
    <w:rsid w:val="00A267FA"/>
    <w:rsid w:val="00A27C3E"/>
    <w:rsid w:val="00A30196"/>
    <w:rsid w:val="00A316BC"/>
    <w:rsid w:val="00A34A7B"/>
    <w:rsid w:val="00A363EA"/>
    <w:rsid w:val="00A373CB"/>
    <w:rsid w:val="00A377B8"/>
    <w:rsid w:val="00A402A3"/>
    <w:rsid w:val="00A408E4"/>
    <w:rsid w:val="00A41624"/>
    <w:rsid w:val="00A44793"/>
    <w:rsid w:val="00A45228"/>
    <w:rsid w:val="00A469E5"/>
    <w:rsid w:val="00A46DFD"/>
    <w:rsid w:val="00A50201"/>
    <w:rsid w:val="00A52F97"/>
    <w:rsid w:val="00A56834"/>
    <w:rsid w:val="00A56F07"/>
    <w:rsid w:val="00A57635"/>
    <w:rsid w:val="00A61B50"/>
    <w:rsid w:val="00A628C6"/>
    <w:rsid w:val="00A638ED"/>
    <w:rsid w:val="00A64D2F"/>
    <w:rsid w:val="00A67712"/>
    <w:rsid w:val="00A71192"/>
    <w:rsid w:val="00A71B11"/>
    <w:rsid w:val="00A754CA"/>
    <w:rsid w:val="00A75768"/>
    <w:rsid w:val="00A803C9"/>
    <w:rsid w:val="00A81CE3"/>
    <w:rsid w:val="00A84A46"/>
    <w:rsid w:val="00A84A4E"/>
    <w:rsid w:val="00A86AEF"/>
    <w:rsid w:val="00A9266D"/>
    <w:rsid w:val="00A96CE4"/>
    <w:rsid w:val="00A96FED"/>
    <w:rsid w:val="00A974F9"/>
    <w:rsid w:val="00AA217E"/>
    <w:rsid w:val="00AA2F93"/>
    <w:rsid w:val="00AA3049"/>
    <w:rsid w:val="00AA55FC"/>
    <w:rsid w:val="00AA6D51"/>
    <w:rsid w:val="00AB466C"/>
    <w:rsid w:val="00AB5CFD"/>
    <w:rsid w:val="00AB5E91"/>
    <w:rsid w:val="00AB70C8"/>
    <w:rsid w:val="00AC5078"/>
    <w:rsid w:val="00AC6DF8"/>
    <w:rsid w:val="00AC7AD1"/>
    <w:rsid w:val="00AD12FC"/>
    <w:rsid w:val="00AD1810"/>
    <w:rsid w:val="00AD290E"/>
    <w:rsid w:val="00AD2C71"/>
    <w:rsid w:val="00AD33A7"/>
    <w:rsid w:val="00AD42F8"/>
    <w:rsid w:val="00AD4AD9"/>
    <w:rsid w:val="00AD50CF"/>
    <w:rsid w:val="00AD7E42"/>
    <w:rsid w:val="00AE1713"/>
    <w:rsid w:val="00AE21AD"/>
    <w:rsid w:val="00AE3D18"/>
    <w:rsid w:val="00AE48AF"/>
    <w:rsid w:val="00AE5041"/>
    <w:rsid w:val="00AE576D"/>
    <w:rsid w:val="00AE6B0E"/>
    <w:rsid w:val="00AE6C8D"/>
    <w:rsid w:val="00AE7EFC"/>
    <w:rsid w:val="00AF23E9"/>
    <w:rsid w:val="00AF2B9B"/>
    <w:rsid w:val="00AF2E94"/>
    <w:rsid w:val="00AF7CEB"/>
    <w:rsid w:val="00B00110"/>
    <w:rsid w:val="00B03DB9"/>
    <w:rsid w:val="00B10011"/>
    <w:rsid w:val="00B114F7"/>
    <w:rsid w:val="00B12BD8"/>
    <w:rsid w:val="00B13D0E"/>
    <w:rsid w:val="00B146B7"/>
    <w:rsid w:val="00B15DCE"/>
    <w:rsid w:val="00B166C3"/>
    <w:rsid w:val="00B171DF"/>
    <w:rsid w:val="00B17D5E"/>
    <w:rsid w:val="00B20261"/>
    <w:rsid w:val="00B20538"/>
    <w:rsid w:val="00B223FD"/>
    <w:rsid w:val="00B22B96"/>
    <w:rsid w:val="00B23135"/>
    <w:rsid w:val="00B238FE"/>
    <w:rsid w:val="00B27AE4"/>
    <w:rsid w:val="00B30FAC"/>
    <w:rsid w:val="00B31002"/>
    <w:rsid w:val="00B335E5"/>
    <w:rsid w:val="00B338EC"/>
    <w:rsid w:val="00B358B0"/>
    <w:rsid w:val="00B3695D"/>
    <w:rsid w:val="00B36DA4"/>
    <w:rsid w:val="00B40A00"/>
    <w:rsid w:val="00B4168D"/>
    <w:rsid w:val="00B43A26"/>
    <w:rsid w:val="00B4416D"/>
    <w:rsid w:val="00B450EC"/>
    <w:rsid w:val="00B452F1"/>
    <w:rsid w:val="00B4621F"/>
    <w:rsid w:val="00B463A8"/>
    <w:rsid w:val="00B46B4F"/>
    <w:rsid w:val="00B53D55"/>
    <w:rsid w:val="00B5489E"/>
    <w:rsid w:val="00B54D5C"/>
    <w:rsid w:val="00B54F45"/>
    <w:rsid w:val="00B5541C"/>
    <w:rsid w:val="00B57CFC"/>
    <w:rsid w:val="00B62A7A"/>
    <w:rsid w:val="00B64C9A"/>
    <w:rsid w:val="00B65F23"/>
    <w:rsid w:val="00B65F2B"/>
    <w:rsid w:val="00B66B4C"/>
    <w:rsid w:val="00B6725F"/>
    <w:rsid w:val="00B70F73"/>
    <w:rsid w:val="00B713D9"/>
    <w:rsid w:val="00B74C89"/>
    <w:rsid w:val="00B75926"/>
    <w:rsid w:val="00B76046"/>
    <w:rsid w:val="00B77F10"/>
    <w:rsid w:val="00B85B49"/>
    <w:rsid w:val="00B865A2"/>
    <w:rsid w:val="00B90720"/>
    <w:rsid w:val="00B92E04"/>
    <w:rsid w:val="00B92F4A"/>
    <w:rsid w:val="00B960B2"/>
    <w:rsid w:val="00BA0C04"/>
    <w:rsid w:val="00BA2FDE"/>
    <w:rsid w:val="00BB3E1A"/>
    <w:rsid w:val="00BB57B1"/>
    <w:rsid w:val="00BB6B2C"/>
    <w:rsid w:val="00BC16A6"/>
    <w:rsid w:val="00BC2858"/>
    <w:rsid w:val="00BC3625"/>
    <w:rsid w:val="00BC67A5"/>
    <w:rsid w:val="00BC7E1A"/>
    <w:rsid w:val="00BD08E7"/>
    <w:rsid w:val="00BD1DBC"/>
    <w:rsid w:val="00BD3E94"/>
    <w:rsid w:val="00BD5013"/>
    <w:rsid w:val="00BE3ABD"/>
    <w:rsid w:val="00BE48C5"/>
    <w:rsid w:val="00BE6CB0"/>
    <w:rsid w:val="00BF3E50"/>
    <w:rsid w:val="00BF61E0"/>
    <w:rsid w:val="00BF62C5"/>
    <w:rsid w:val="00C0065E"/>
    <w:rsid w:val="00C00958"/>
    <w:rsid w:val="00C01BC6"/>
    <w:rsid w:val="00C01D1C"/>
    <w:rsid w:val="00C02347"/>
    <w:rsid w:val="00C03E76"/>
    <w:rsid w:val="00C04008"/>
    <w:rsid w:val="00C06891"/>
    <w:rsid w:val="00C1145F"/>
    <w:rsid w:val="00C20C65"/>
    <w:rsid w:val="00C21E39"/>
    <w:rsid w:val="00C223EF"/>
    <w:rsid w:val="00C227AA"/>
    <w:rsid w:val="00C234EB"/>
    <w:rsid w:val="00C23A1B"/>
    <w:rsid w:val="00C2444F"/>
    <w:rsid w:val="00C25949"/>
    <w:rsid w:val="00C260A2"/>
    <w:rsid w:val="00C319FE"/>
    <w:rsid w:val="00C32DE4"/>
    <w:rsid w:val="00C34B5F"/>
    <w:rsid w:val="00C418EA"/>
    <w:rsid w:val="00C42282"/>
    <w:rsid w:val="00C44AB0"/>
    <w:rsid w:val="00C44D14"/>
    <w:rsid w:val="00C45597"/>
    <w:rsid w:val="00C45656"/>
    <w:rsid w:val="00C4615F"/>
    <w:rsid w:val="00C46FB8"/>
    <w:rsid w:val="00C47958"/>
    <w:rsid w:val="00C543A7"/>
    <w:rsid w:val="00C554F7"/>
    <w:rsid w:val="00C55A8D"/>
    <w:rsid w:val="00C56559"/>
    <w:rsid w:val="00C57661"/>
    <w:rsid w:val="00C6192C"/>
    <w:rsid w:val="00C63CE3"/>
    <w:rsid w:val="00C64902"/>
    <w:rsid w:val="00C64BF4"/>
    <w:rsid w:val="00C65D47"/>
    <w:rsid w:val="00C65D50"/>
    <w:rsid w:val="00C65E0C"/>
    <w:rsid w:val="00C6723D"/>
    <w:rsid w:val="00C72383"/>
    <w:rsid w:val="00C72CD0"/>
    <w:rsid w:val="00C74EBF"/>
    <w:rsid w:val="00C75E35"/>
    <w:rsid w:val="00C761CC"/>
    <w:rsid w:val="00C812EF"/>
    <w:rsid w:val="00C843DD"/>
    <w:rsid w:val="00C855A3"/>
    <w:rsid w:val="00C85759"/>
    <w:rsid w:val="00C9229F"/>
    <w:rsid w:val="00C93812"/>
    <w:rsid w:val="00C93852"/>
    <w:rsid w:val="00C955B7"/>
    <w:rsid w:val="00C9598A"/>
    <w:rsid w:val="00C969F0"/>
    <w:rsid w:val="00C97271"/>
    <w:rsid w:val="00C97FE5"/>
    <w:rsid w:val="00CA2A72"/>
    <w:rsid w:val="00CA7383"/>
    <w:rsid w:val="00CB44BE"/>
    <w:rsid w:val="00CB47F6"/>
    <w:rsid w:val="00CB6472"/>
    <w:rsid w:val="00CB7D5F"/>
    <w:rsid w:val="00CB7E27"/>
    <w:rsid w:val="00CC0199"/>
    <w:rsid w:val="00CC08D4"/>
    <w:rsid w:val="00CC1113"/>
    <w:rsid w:val="00CC2146"/>
    <w:rsid w:val="00CC26C2"/>
    <w:rsid w:val="00CC4B8F"/>
    <w:rsid w:val="00CC55A5"/>
    <w:rsid w:val="00CC5A91"/>
    <w:rsid w:val="00CC6274"/>
    <w:rsid w:val="00CC6345"/>
    <w:rsid w:val="00CC70F2"/>
    <w:rsid w:val="00CD1E2D"/>
    <w:rsid w:val="00CD2EB9"/>
    <w:rsid w:val="00CD4C01"/>
    <w:rsid w:val="00CD4E48"/>
    <w:rsid w:val="00CE007F"/>
    <w:rsid w:val="00CE0D22"/>
    <w:rsid w:val="00CE31B7"/>
    <w:rsid w:val="00CE380F"/>
    <w:rsid w:val="00CE58E6"/>
    <w:rsid w:val="00CE645C"/>
    <w:rsid w:val="00CF001C"/>
    <w:rsid w:val="00CF1253"/>
    <w:rsid w:val="00CF1662"/>
    <w:rsid w:val="00CF674D"/>
    <w:rsid w:val="00CF67B8"/>
    <w:rsid w:val="00CF6AA8"/>
    <w:rsid w:val="00CF7E62"/>
    <w:rsid w:val="00D00465"/>
    <w:rsid w:val="00D00DD5"/>
    <w:rsid w:val="00D014F4"/>
    <w:rsid w:val="00D027AA"/>
    <w:rsid w:val="00D03001"/>
    <w:rsid w:val="00D070EF"/>
    <w:rsid w:val="00D1176A"/>
    <w:rsid w:val="00D138BC"/>
    <w:rsid w:val="00D13951"/>
    <w:rsid w:val="00D168B2"/>
    <w:rsid w:val="00D171A9"/>
    <w:rsid w:val="00D17450"/>
    <w:rsid w:val="00D22A69"/>
    <w:rsid w:val="00D237E6"/>
    <w:rsid w:val="00D24007"/>
    <w:rsid w:val="00D2510F"/>
    <w:rsid w:val="00D274EF"/>
    <w:rsid w:val="00D32840"/>
    <w:rsid w:val="00D335AA"/>
    <w:rsid w:val="00D349CE"/>
    <w:rsid w:val="00D356FD"/>
    <w:rsid w:val="00D35EB7"/>
    <w:rsid w:val="00D3630B"/>
    <w:rsid w:val="00D412E1"/>
    <w:rsid w:val="00D4300E"/>
    <w:rsid w:val="00D439EE"/>
    <w:rsid w:val="00D44D5B"/>
    <w:rsid w:val="00D5048B"/>
    <w:rsid w:val="00D52DB8"/>
    <w:rsid w:val="00D56AE4"/>
    <w:rsid w:val="00D6113C"/>
    <w:rsid w:val="00D62957"/>
    <w:rsid w:val="00D62E45"/>
    <w:rsid w:val="00D65D84"/>
    <w:rsid w:val="00D66554"/>
    <w:rsid w:val="00D71179"/>
    <w:rsid w:val="00D75BBF"/>
    <w:rsid w:val="00D77916"/>
    <w:rsid w:val="00D80C1B"/>
    <w:rsid w:val="00D8231E"/>
    <w:rsid w:val="00D84E32"/>
    <w:rsid w:val="00D860EE"/>
    <w:rsid w:val="00D87C92"/>
    <w:rsid w:val="00D9229C"/>
    <w:rsid w:val="00D9398E"/>
    <w:rsid w:val="00D93FD1"/>
    <w:rsid w:val="00D94743"/>
    <w:rsid w:val="00D95C98"/>
    <w:rsid w:val="00D96477"/>
    <w:rsid w:val="00DA0686"/>
    <w:rsid w:val="00DA2724"/>
    <w:rsid w:val="00DA2B41"/>
    <w:rsid w:val="00DA2E95"/>
    <w:rsid w:val="00DA4529"/>
    <w:rsid w:val="00DA5E7B"/>
    <w:rsid w:val="00DB2A6C"/>
    <w:rsid w:val="00DB4D3B"/>
    <w:rsid w:val="00DB4FF0"/>
    <w:rsid w:val="00DB5690"/>
    <w:rsid w:val="00DB6437"/>
    <w:rsid w:val="00DB6E45"/>
    <w:rsid w:val="00DC1A4F"/>
    <w:rsid w:val="00DC33CC"/>
    <w:rsid w:val="00DC50DE"/>
    <w:rsid w:val="00DC6827"/>
    <w:rsid w:val="00DC7532"/>
    <w:rsid w:val="00DD17FC"/>
    <w:rsid w:val="00DD1E75"/>
    <w:rsid w:val="00DD394C"/>
    <w:rsid w:val="00DD43E9"/>
    <w:rsid w:val="00DE1E07"/>
    <w:rsid w:val="00DE4CBC"/>
    <w:rsid w:val="00DE7DFB"/>
    <w:rsid w:val="00DF24E3"/>
    <w:rsid w:val="00DF2ADE"/>
    <w:rsid w:val="00DF3CA4"/>
    <w:rsid w:val="00DF571F"/>
    <w:rsid w:val="00DF67E4"/>
    <w:rsid w:val="00DF700E"/>
    <w:rsid w:val="00DF7FF9"/>
    <w:rsid w:val="00E04802"/>
    <w:rsid w:val="00E05031"/>
    <w:rsid w:val="00E1097A"/>
    <w:rsid w:val="00E1134D"/>
    <w:rsid w:val="00E1248B"/>
    <w:rsid w:val="00E12D73"/>
    <w:rsid w:val="00E1344C"/>
    <w:rsid w:val="00E14602"/>
    <w:rsid w:val="00E200EB"/>
    <w:rsid w:val="00E20BDA"/>
    <w:rsid w:val="00E22283"/>
    <w:rsid w:val="00E22AD6"/>
    <w:rsid w:val="00E23776"/>
    <w:rsid w:val="00E249D8"/>
    <w:rsid w:val="00E262FF"/>
    <w:rsid w:val="00E26F2B"/>
    <w:rsid w:val="00E31194"/>
    <w:rsid w:val="00E33F00"/>
    <w:rsid w:val="00E35A9D"/>
    <w:rsid w:val="00E360C1"/>
    <w:rsid w:val="00E4035C"/>
    <w:rsid w:val="00E415C3"/>
    <w:rsid w:val="00E434F3"/>
    <w:rsid w:val="00E45C91"/>
    <w:rsid w:val="00E45E78"/>
    <w:rsid w:val="00E46DF2"/>
    <w:rsid w:val="00E47828"/>
    <w:rsid w:val="00E47B58"/>
    <w:rsid w:val="00E52268"/>
    <w:rsid w:val="00E52AFC"/>
    <w:rsid w:val="00E5397B"/>
    <w:rsid w:val="00E5590F"/>
    <w:rsid w:val="00E55999"/>
    <w:rsid w:val="00E568F3"/>
    <w:rsid w:val="00E5691D"/>
    <w:rsid w:val="00E6680D"/>
    <w:rsid w:val="00E66F3A"/>
    <w:rsid w:val="00E67EE8"/>
    <w:rsid w:val="00E71BA9"/>
    <w:rsid w:val="00E71C54"/>
    <w:rsid w:val="00E74479"/>
    <w:rsid w:val="00E74E2C"/>
    <w:rsid w:val="00E76D7B"/>
    <w:rsid w:val="00E82E66"/>
    <w:rsid w:val="00E86211"/>
    <w:rsid w:val="00E904AC"/>
    <w:rsid w:val="00E911B5"/>
    <w:rsid w:val="00E92CFE"/>
    <w:rsid w:val="00E92D88"/>
    <w:rsid w:val="00E93458"/>
    <w:rsid w:val="00E97C11"/>
    <w:rsid w:val="00EA0514"/>
    <w:rsid w:val="00EA098C"/>
    <w:rsid w:val="00EA7D91"/>
    <w:rsid w:val="00EA7F22"/>
    <w:rsid w:val="00EC2B00"/>
    <w:rsid w:val="00EC344C"/>
    <w:rsid w:val="00EC3B98"/>
    <w:rsid w:val="00EC3DDD"/>
    <w:rsid w:val="00EC609A"/>
    <w:rsid w:val="00EC7568"/>
    <w:rsid w:val="00EC774E"/>
    <w:rsid w:val="00ED4857"/>
    <w:rsid w:val="00ED524C"/>
    <w:rsid w:val="00ED564D"/>
    <w:rsid w:val="00ED6CF2"/>
    <w:rsid w:val="00EE0CFB"/>
    <w:rsid w:val="00EE1981"/>
    <w:rsid w:val="00EE3211"/>
    <w:rsid w:val="00EE49A3"/>
    <w:rsid w:val="00EE63D4"/>
    <w:rsid w:val="00EE665D"/>
    <w:rsid w:val="00EE69FA"/>
    <w:rsid w:val="00EF00BB"/>
    <w:rsid w:val="00EF6594"/>
    <w:rsid w:val="00EF6FE6"/>
    <w:rsid w:val="00EF70FF"/>
    <w:rsid w:val="00F01EFB"/>
    <w:rsid w:val="00F038AA"/>
    <w:rsid w:val="00F0445A"/>
    <w:rsid w:val="00F04621"/>
    <w:rsid w:val="00F05CA8"/>
    <w:rsid w:val="00F067B4"/>
    <w:rsid w:val="00F07205"/>
    <w:rsid w:val="00F101B3"/>
    <w:rsid w:val="00F10812"/>
    <w:rsid w:val="00F10CEF"/>
    <w:rsid w:val="00F1481B"/>
    <w:rsid w:val="00F20A93"/>
    <w:rsid w:val="00F214A0"/>
    <w:rsid w:val="00F218FC"/>
    <w:rsid w:val="00F234F2"/>
    <w:rsid w:val="00F2361A"/>
    <w:rsid w:val="00F23E5B"/>
    <w:rsid w:val="00F2419A"/>
    <w:rsid w:val="00F248FB"/>
    <w:rsid w:val="00F276A9"/>
    <w:rsid w:val="00F36074"/>
    <w:rsid w:val="00F36236"/>
    <w:rsid w:val="00F365D7"/>
    <w:rsid w:val="00F3728D"/>
    <w:rsid w:val="00F41209"/>
    <w:rsid w:val="00F424D4"/>
    <w:rsid w:val="00F4423A"/>
    <w:rsid w:val="00F4453C"/>
    <w:rsid w:val="00F44F03"/>
    <w:rsid w:val="00F45F49"/>
    <w:rsid w:val="00F5065B"/>
    <w:rsid w:val="00F528A6"/>
    <w:rsid w:val="00F52F48"/>
    <w:rsid w:val="00F5322E"/>
    <w:rsid w:val="00F53BC6"/>
    <w:rsid w:val="00F56F35"/>
    <w:rsid w:val="00F57047"/>
    <w:rsid w:val="00F5735D"/>
    <w:rsid w:val="00F6198F"/>
    <w:rsid w:val="00F61B3E"/>
    <w:rsid w:val="00F627AD"/>
    <w:rsid w:val="00F62ECC"/>
    <w:rsid w:val="00F635F8"/>
    <w:rsid w:val="00F74B79"/>
    <w:rsid w:val="00F75BF5"/>
    <w:rsid w:val="00F776CA"/>
    <w:rsid w:val="00F77E43"/>
    <w:rsid w:val="00F80CAE"/>
    <w:rsid w:val="00F842F2"/>
    <w:rsid w:val="00F85007"/>
    <w:rsid w:val="00F927F9"/>
    <w:rsid w:val="00F94D5E"/>
    <w:rsid w:val="00F955AC"/>
    <w:rsid w:val="00F95F5A"/>
    <w:rsid w:val="00FA239F"/>
    <w:rsid w:val="00FA45B8"/>
    <w:rsid w:val="00FB320F"/>
    <w:rsid w:val="00FB3C89"/>
    <w:rsid w:val="00FB3F87"/>
    <w:rsid w:val="00FB5629"/>
    <w:rsid w:val="00FC117F"/>
    <w:rsid w:val="00FC5488"/>
    <w:rsid w:val="00FC5AC4"/>
    <w:rsid w:val="00FC6173"/>
    <w:rsid w:val="00FD1156"/>
    <w:rsid w:val="00FE1D9B"/>
    <w:rsid w:val="00FE4E68"/>
    <w:rsid w:val="00FE7535"/>
    <w:rsid w:val="00FF3C80"/>
    <w:rsid w:val="00FF5508"/>
    <w:rsid w:val="00FF5670"/>
    <w:rsid w:val="00FF65A1"/>
    <w:rsid w:val="00FF672F"/>
    <w:rsid w:val="00FF7E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31"/>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E05031"/>
  </w:style>
  <w:style w:type="character" w:styleId="Strong">
    <w:name w:val="Strong"/>
    <w:basedOn w:val="DefaultParagraphFont"/>
    <w:uiPriority w:val="22"/>
    <w:qFormat/>
    <w:rsid w:val="00E05031"/>
    <w:rPr>
      <w:b/>
      <w:bCs/>
    </w:rPr>
  </w:style>
  <w:style w:type="character" w:styleId="Hyperlink">
    <w:name w:val="Hyperlink"/>
    <w:basedOn w:val="DefaultParagraphFont"/>
    <w:uiPriority w:val="99"/>
    <w:unhideWhenUsed/>
    <w:rsid w:val="00E05031"/>
    <w:rPr>
      <w:color w:val="0000FF"/>
      <w:u w:val="single"/>
    </w:rPr>
  </w:style>
  <w:style w:type="paragraph" w:customStyle="1" w:styleId="Default">
    <w:name w:val="Default"/>
    <w:rsid w:val="0000617E"/>
    <w:pPr>
      <w:autoSpaceDE w:val="0"/>
      <w:autoSpaceDN w:val="0"/>
      <w:adjustRightInd w:val="0"/>
      <w:spacing w:after="0" w:line="240" w:lineRule="auto"/>
    </w:pPr>
    <w:rPr>
      <w:rFonts w:ascii="Code" w:hAnsi="Code" w:cs="Code"/>
      <w:color w:val="000000"/>
      <w:szCs w:val="24"/>
    </w:rPr>
  </w:style>
  <w:style w:type="paragraph" w:styleId="Header">
    <w:name w:val="header"/>
    <w:basedOn w:val="Normal"/>
    <w:link w:val="HeaderChar"/>
    <w:uiPriority w:val="99"/>
    <w:unhideWhenUsed/>
    <w:rsid w:val="008D1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D5"/>
  </w:style>
  <w:style w:type="paragraph" w:styleId="Footer">
    <w:name w:val="footer"/>
    <w:basedOn w:val="Normal"/>
    <w:link w:val="FooterChar"/>
    <w:uiPriority w:val="99"/>
    <w:unhideWhenUsed/>
    <w:rsid w:val="008D1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D5"/>
  </w:style>
  <w:style w:type="character" w:styleId="Emphasis">
    <w:name w:val="Emphasis"/>
    <w:basedOn w:val="DefaultParagraphFont"/>
    <w:uiPriority w:val="20"/>
    <w:qFormat/>
    <w:rsid w:val="00B54D5C"/>
    <w:rPr>
      <w:i/>
      <w:iCs/>
    </w:rPr>
  </w:style>
  <w:style w:type="table" w:styleId="TableGrid">
    <w:name w:val="Table Grid"/>
    <w:basedOn w:val="TableNormal"/>
    <w:uiPriority w:val="39"/>
    <w:rsid w:val="00C54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C6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7EB"/>
    <w:rPr>
      <w:sz w:val="20"/>
      <w:szCs w:val="20"/>
    </w:rPr>
  </w:style>
  <w:style w:type="character" w:styleId="FootnoteReference">
    <w:name w:val="footnote reference"/>
    <w:basedOn w:val="DefaultParagraphFont"/>
    <w:uiPriority w:val="99"/>
    <w:semiHidden/>
    <w:unhideWhenUsed/>
    <w:rsid w:val="008C67EB"/>
    <w:rPr>
      <w:vertAlign w:val="superscript"/>
    </w:rPr>
  </w:style>
  <w:style w:type="paragraph" w:styleId="Bibliography">
    <w:name w:val="Bibliography"/>
    <w:basedOn w:val="Normal"/>
    <w:next w:val="Normal"/>
    <w:uiPriority w:val="37"/>
    <w:unhideWhenUsed/>
    <w:rsid w:val="0086454D"/>
    <w:pPr>
      <w:spacing w:after="0" w:line="480" w:lineRule="auto"/>
      <w:ind w:left="720" w:hanging="720"/>
    </w:pPr>
  </w:style>
  <w:style w:type="character" w:styleId="CommentReference">
    <w:name w:val="annotation reference"/>
    <w:basedOn w:val="DefaultParagraphFont"/>
    <w:uiPriority w:val="99"/>
    <w:semiHidden/>
    <w:unhideWhenUsed/>
    <w:rsid w:val="00E262FF"/>
    <w:rPr>
      <w:sz w:val="16"/>
      <w:szCs w:val="16"/>
    </w:rPr>
  </w:style>
  <w:style w:type="paragraph" w:styleId="CommentText">
    <w:name w:val="annotation text"/>
    <w:basedOn w:val="Normal"/>
    <w:link w:val="CommentTextChar"/>
    <w:uiPriority w:val="99"/>
    <w:semiHidden/>
    <w:unhideWhenUsed/>
    <w:rsid w:val="00E262FF"/>
    <w:pPr>
      <w:spacing w:line="240" w:lineRule="auto"/>
    </w:pPr>
    <w:rPr>
      <w:sz w:val="20"/>
      <w:szCs w:val="20"/>
    </w:rPr>
  </w:style>
  <w:style w:type="character" w:customStyle="1" w:styleId="CommentTextChar">
    <w:name w:val="Comment Text Char"/>
    <w:basedOn w:val="DefaultParagraphFont"/>
    <w:link w:val="CommentText"/>
    <w:uiPriority w:val="99"/>
    <w:semiHidden/>
    <w:rsid w:val="00E262FF"/>
    <w:rPr>
      <w:sz w:val="20"/>
      <w:szCs w:val="20"/>
    </w:rPr>
  </w:style>
  <w:style w:type="paragraph" w:styleId="CommentSubject">
    <w:name w:val="annotation subject"/>
    <w:basedOn w:val="CommentText"/>
    <w:next w:val="CommentText"/>
    <w:link w:val="CommentSubjectChar"/>
    <w:uiPriority w:val="99"/>
    <w:semiHidden/>
    <w:unhideWhenUsed/>
    <w:rsid w:val="00E262FF"/>
    <w:rPr>
      <w:b/>
      <w:bCs/>
    </w:rPr>
  </w:style>
  <w:style w:type="character" w:customStyle="1" w:styleId="CommentSubjectChar">
    <w:name w:val="Comment Subject Char"/>
    <w:basedOn w:val="CommentTextChar"/>
    <w:link w:val="CommentSubject"/>
    <w:uiPriority w:val="99"/>
    <w:semiHidden/>
    <w:rsid w:val="00E262FF"/>
    <w:rPr>
      <w:b/>
      <w:bCs/>
      <w:sz w:val="20"/>
      <w:szCs w:val="20"/>
    </w:rPr>
  </w:style>
  <w:style w:type="paragraph" w:styleId="BalloonText">
    <w:name w:val="Balloon Text"/>
    <w:basedOn w:val="Normal"/>
    <w:link w:val="BalloonTextChar"/>
    <w:uiPriority w:val="99"/>
    <w:semiHidden/>
    <w:unhideWhenUsed/>
    <w:rsid w:val="00E26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2FF"/>
    <w:rPr>
      <w:rFonts w:ascii="Segoe UI" w:hAnsi="Segoe UI" w:cs="Segoe UI"/>
      <w:sz w:val="18"/>
      <w:szCs w:val="18"/>
    </w:rPr>
  </w:style>
  <w:style w:type="paragraph" w:styleId="Revision">
    <w:name w:val="Revision"/>
    <w:hidden/>
    <w:uiPriority w:val="99"/>
    <w:semiHidden/>
    <w:rsid w:val="00483A9A"/>
    <w:pPr>
      <w:spacing w:after="0" w:line="240" w:lineRule="auto"/>
    </w:pPr>
  </w:style>
  <w:style w:type="paragraph" w:styleId="ListParagraph">
    <w:name w:val="List Paragraph"/>
    <w:basedOn w:val="Normal"/>
    <w:uiPriority w:val="34"/>
    <w:qFormat/>
    <w:rsid w:val="002E2D40"/>
    <w:pPr>
      <w:ind w:left="720"/>
      <w:contextualSpacing/>
    </w:pPr>
  </w:style>
  <w:style w:type="character" w:styleId="FollowedHyperlink">
    <w:name w:val="FollowedHyperlink"/>
    <w:basedOn w:val="DefaultParagraphFont"/>
    <w:uiPriority w:val="99"/>
    <w:semiHidden/>
    <w:unhideWhenUsed/>
    <w:rsid w:val="009E1287"/>
    <w:rPr>
      <w:color w:val="954F72" w:themeColor="followedHyperlink"/>
      <w:u w:val="single"/>
    </w:rPr>
  </w:style>
  <w:style w:type="character" w:customStyle="1" w:styleId="currenthithighlight">
    <w:name w:val="currenthithighlight"/>
    <w:basedOn w:val="DefaultParagraphFont"/>
    <w:rsid w:val="00941A37"/>
  </w:style>
  <w:style w:type="character" w:customStyle="1" w:styleId="highlight">
    <w:name w:val="highlight"/>
    <w:basedOn w:val="DefaultParagraphFont"/>
    <w:rsid w:val="00941A37"/>
  </w:style>
</w:styles>
</file>

<file path=word/webSettings.xml><?xml version="1.0" encoding="utf-8"?>
<w:webSettings xmlns:r="http://schemas.openxmlformats.org/officeDocument/2006/relationships" xmlns:w="http://schemas.openxmlformats.org/wordprocessingml/2006/main">
  <w:divs>
    <w:div w:id="103035430">
      <w:bodyDiv w:val="1"/>
      <w:marLeft w:val="0"/>
      <w:marRight w:val="0"/>
      <w:marTop w:val="0"/>
      <w:marBottom w:val="0"/>
      <w:divBdr>
        <w:top w:val="none" w:sz="0" w:space="0" w:color="auto"/>
        <w:left w:val="none" w:sz="0" w:space="0" w:color="auto"/>
        <w:bottom w:val="none" w:sz="0" w:space="0" w:color="auto"/>
        <w:right w:val="none" w:sz="0" w:space="0" w:color="auto"/>
      </w:divBdr>
    </w:div>
    <w:div w:id="166553572">
      <w:bodyDiv w:val="1"/>
      <w:marLeft w:val="0"/>
      <w:marRight w:val="0"/>
      <w:marTop w:val="0"/>
      <w:marBottom w:val="0"/>
      <w:divBdr>
        <w:top w:val="none" w:sz="0" w:space="0" w:color="auto"/>
        <w:left w:val="none" w:sz="0" w:space="0" w:color="auto"/>
        <w:bottom w:val="none" w:sz="0" w:space="0" w:color="auto"/>
        <w:right w:val="none" w:sz="0" w:space="0" w:color="auto"/>
      </w:divBdr>
    </w:div>
    <w:div w:id="232814311">
      <w:bodyDiv w:val="1"/>
      <w:marLeft w:val="0"/>
      <w:marRight w:val="0"/>
      <w:marTop w:val="0"/>
      <w:marBottom w:val="0"/>
      <w:divBdr>
        <w:top w:val="none" w:sz="0" w:space="0" w:color="auto"/>
        <w:left w:val="none" w:sz="0" w:space="0" w:color="auto"/>
        <w:bottom w:val="none" w:sz="0" w:space="0" w:color="auto"/>
        <w:right w:val="none" w:sz="0" w:space="0" w:color="auto"/>
      </w:divBdr>
    </w:div>
    <w:div w:id="242108463">
      <w:bodyDiv w:val="1"/>
      <w:marLeft w:val="0"/>
      <w:marRight w:val="0"/>
      <w:marTop w:val="0"/>
      <w:marBottom w:val="0"/>
      <w:divBdr>
        <w:top w:val="none" w:sz="0" w:space="0" w:color="auto"/>
        <w:left w:val="none" w:sz="0" w:space="0" w:color="auto"/>
        <w:bottom w:val="none" w:sz="0" w:space="0" w:color="auto"/>
        <w:right w:val="none" w:sz="0" w:space="0" w:color="auto"/>
      </w:divBdr>
    </w:div>
    <w:div w:id="403257672">
      <w:bodyDiv w:val="1"/>
      <w:marLeft w:val="0"/>
      <w:marRight w:val="0"/>
      <w:marTop w:val="0"/>
      <w:marBottom w:val="0"/>
      <w:divBdr>
        <w:top w:val="none" w:sz="0" w:space="0" w:color="auto"/>
        <w:left w:val="none" w:sz="0" w:space="0" w:color="auto"/>
        <w:bottom w:val="none" w:sz="0" w:space="0" w:color="auto"/>
        <w:right w:val="none" w:sz="0" w:space="0" w:color="auto"/>
      </w:divBdr>
    </w:div>
    <w:div w:id="407121980">
      <w:bodyDiv w:val="1"/>
      <w:marLeft w:val="0"/>
      <w:marRight w:val="0"/>
      <w:marTop w:val="0"/>
      <w:marBottom w:val="0"/>
      <w:divBdr>
        <w:top w:val="none" w:sz="0" w:space="0" w:color="auto"/>
        <w:left w:val="none" w:sz="0" w:space="0" w:color="auto"/>
        <w:bottom w:val="none" w:sz="0" w:space="0" w:color="auto"/>
        <w:right w:val="none" w:sz="0" w:space="0" w:color="auto"/>
      </w:divBdr>
    </w:div>
    <w:div w:id="571428693">
      <w:bodyDiv w:val="1"/>
      <w:marLeft w:val="0"/>
      <w:marRight w:val="0"/>
      <w:marTop w:val="0"/>
      <w:marBottom w:val="0"/>
      <w:divBdr>
        <w:top w:val="none" w:sz="0" w:space="0" w:color="auto"/>
        <w:left w:val="none" w:sz="0" w:space="0" w:color="auto"/>
        <w:bottom w:val="none" w:sz="0" w:space="0" w:color="auto"/>
        <w:right w:val="none" w:sz="0" w:space="0" w:color="auto"/>
      </w:divBdr>
    </w:div>
    <w:div w:id="588853837">
      <w:bodyDiv w:val="1"/>
      <w:marLeft w:val="0"/>
      <w:marRight w:val="0"/>
      <w:marTop w:val="0"/>
      <w:marBottom w:val="0"/>
      <w:divBdr>
        <w:top w:val="none" w:sz="0" w:space="0" w:color="auto"/>
        <w:left w:val="none" w:sz="0" w:space="0" w:color="auto"/>
        <w:bottom w:val="none" w:sz="0" w:space="0" w:color="auto"/>
        <w:right w:val="none" w:sz="0" w:space="0" w:color="auto"/>
      </w:divBdr>
    </w:div>
    <w:div w:id="922254410">
      <w:bodyDiv w:val="1"/>
      <w:marLeft w:val="0"/>
      <w:marRight w:val="0"/>
      <w:marTop w:val="0"/>
      <w:marBottom w:val="0"/>
      <w:divBdr>
        <w:top w:val="none" w:sz="0" w:space="0" w:color="auto"/>
        <w:left w:val="none" w:sz="0" w:space="0" w:color="auto"/>
        <w:bottom w:val="none" w:sz="0" w:space="0" w:color="auto"/>
        <w:right w:val="none" w:sz="0" w:space="0" w:color="auto"/>
      </w:divBdr>
    </w:div>
    <w:div w:id="961964595">
      <w:bodyDiv w:val="1"/>
      <w:marLeft w:val="0"/>
      <w:marRight w:val="0"/>
      <w:marTop w:val="0"/>
      <w:marBottom w:val="0"/>
      <w:divBdr>
        <w:top w:val="none" w:sz="0" w:space="0" w:color="auto"/>
        <w:left w:val="none" w:sz="0" w:space="0" w:color="auto"/>
        <w:bottom w:val="none" w:sz="0" w:space="0" w:color="auto"/>
        <w:right w:val="none" w:sz="0" w:space="0" w:color="auto"/>
      </w:divBdr>
    </w:div>
    <w:div w:id="1082022629">
      <w:bodyDiv w:val="1"/>
      <w:marLeft w:val="0"/>
      <w:marRight w:val="0"/>
      <w:marTop w:val="0"/>
      <w:marBottom w:val="0"/>
      <w:divBdr>
        <w:top w:val="none" w:sz="0" w:space="0" w:color="auto"/>
        <w:left w:val="none" w:sz="0" w:space="0" w:color="auto"/>
        <w:bottom w:val="none" w:sz="0" w:space="0" w:color="auto"/>
        <w:right w:val="none" w:sz="0" w:space="0" w:color="auto"/>
      </w:divBdr>
    </w:div>
    <w:div w:id="1162043151">
      <w:bodyDiv w:val="1"/>
      <w:marLeft w:val="0"/>
      <w:marRight w:val="0"/>
      <w:marTop w:val="0"/>
      <w:marBottom w:val="0"/>
      <w:divBdr>
        <w:top w:val="none" w:sz="0" w:space="0" w:color="auto"/>
        <w:left w:val="none" w:sz="0" w:space="0" w:color="auto"/>
        <w:bottom w:val="none" w:sz="0" w:space="0" w:color="auto"/>
        <w:right w:val="none" w:sz="0" w:space="0" w:color="auto"/>
      </w:divBdr>
      <w:divsChild>
        <w:div w:id="1000039846">
          <w:marLeft w:val="0"/>
          <w:marRight w:val="0"/>
          <w:marTop w:val="0"/>
          <w:marBottom w:val="0"/>
          <w:divBdr>
            <w:top w:val="none" w:sz="0" w:space="0" w:color="auto"/>
            <w:left w:val="none" w:sz="0" w:space="0" w:color="auto"/>
            <w:bottom w:val="none" w:sz="0" w:space="0" w:color="auto"/>
            <w:right w:val="none" w:sz="0" w:space="0" w:color="auto"/>
          </w:divBdr>
        </w:div>
      </w:divsChild>
    </w:div>
    <w:div w:id="1704213781">
      <w:bodyDiv w:val="1"/>
      <w:marLeft w:val="0"/>
      <w:marRight w:val="0"/>
      <w:marTop w:val="0"/>
      <w:marBottom w:val="0"/>
      <w:divBdr>
        <w:top w:val="none" w:sz="0" w:space="0" w:color="auto"/>
        <w:left w:val="none" w:sz="0" w:space="0" w:color="auto"/>
        <w:bottom w:val="none" w:sz="0" w:space="0" w:color="auto"/>
        <w:right w:val="none" w:sz="0" w:space="0" w:color="auto"/>
      </w:divBdr>
    </w:div>
    <w:div w:id="1839268977">
      <w:bodyDiv w:val="1"/>
      <w:marLeft w:val="0"/>
      <w:marRight w:val="0"/>
      <w:marTop w:val="0"/>
      <w:marBottom w:val="0"/>
      <w:divBdr>
        <w:top w:val="none" w:sz="0" w:space="0" w:color="auto"/>
        <w:left w:val="none" w:sz="0" w:space="0" w:color="auto"/>
        <w:bottom w:val="none" w:sz="0" w:space="0" w:color="auto"/>
        <w:right w:val="none" w:sz="0" w:space="0" w:color="auto"/>
      </w:divBdr>
    </w:div>
    <w:div w:id="1855611071">
      <w:bodyDiv w:val="1"/>
      <w:marLeft w:val="0"/>
      <w:marRight w:val="0"/>
      <w:marTop w:val="0"/>
      <w:marBottom w:val="0"/>
      <w:divBdr>
        <w:top w:val="none" w:sz="0" w:space="0" w:color="auto"/>
        <w:left w:val="none" w:sz="0" w:space="0" w:color="auto"/>
        <w:bottom w:val="none" w:sz="0" w:space="0" w:color="auto"/>
        <w:right w:val="none" w:sz="0" w:space="0" w:color="auto"/>
      </w:divBdr>
    </w:div>
    <w:div w:id="1904872930">
      <w:bodyDiv w:val="1"/>
      <w:marLeft w:val="0"/>
      <w:marRight w:val="0"/>
      <w:marTop w:val="0"/>
      <w:marBottom w:val="0"/>
      <w:divBdr>
        <w:top w:val="none" w:sz="0" w:space="0" w:color="auto"/>
        <w:left w:val="none" w:sz="0" w:space="0" w:color="auto"/>
        <w:bottom w:val="none" w:sz="0" w:space="0" w:color="auto"/>
        <w:right w:val="none" w:sz="0" w:space="0" w:color="auto"/>
      </w:divBdr>
    </w:div>
    <w:div w:id="1949237609">
      <w:bodyDiv w:val="1"/>
      <w:marLeft w:val="0"/>
      <w:marRight w:val="0"/>
      <w:marTop w:val="0"/>
      <w:marBottom w:val="0"/>
      <w:divBdr>
        <w:top w:val="none" w:sz="0" w:space="0" w:color="auto"/>
        <w:left w:val="none" w:sz="0" w:space="0" w:color="auto"/>
        <w:bottom w:val="none" w:sz="0" w:space="0" w:color="auto"/>
        <w:right w:val="none" w:sz="0" w:space="0" w:color="auto"/>
      </w:divBdr>
    </w:div>
    <w:div w:id="2134447071">
      <w:bodyDiv w:val="1"/>
      <w:marLeft w:val="0"/>
      <w:marRight w:val="0"/>
      <w:marTop w:val="0"/>
      <w:marBottom w:val="0"/>
      <w:divBdr>
        <w:top w:val="none" w:sz="0" w:space="0" w:color="auto"/>
        <w:left w:val="none" w:sz="0" w:space="0" w:color="auto"/>
        <w:bottom w:val="none" w:sz="0" w:space="0" w:color="auto"/>
        <w:right w:val="none" w:sz="0" w:space="0" w:color="auto"/>
      </w:divBdr>
    </w:div>
    <w:div w:id="21381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earch/pubsinfo.asp?pubid=2014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256E-D376-4188-A96B-B692EAD3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Tunstall</dc:creator>
  <cp:lastModifiedBy>Paul</cp:lastModifiedBy>
  <cp:revision>2</cp:revision>
  <dcterms:created xsi:type="dcterms:W3CDTF">2016-10-06T11:34:00Z</dcterms:created>
  <dcterms:modified xsi:type="dcterms:W3CDTF">2016-10-06T11:34:00Z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id="NRtWXUrt"/&gt;&lt;style id="http://www.zotero.org/styles/apa" locale="en-US" hasBibliography="1" bibliographyStyleHasBeenSet="1"/&gt;&lt;prefs&gt;&lt;pref name="fieldType" value="Field"/&gt;&lt;pref name="storeReferen</vt:lpwstr>
  </property>
  <property fmtid="{D5CDD505-2E9C-101B-9397-08002B2CF9AE}" pid="3" name="ZOTERO_PREF_2">
    <vt:lpwstr>ces" value=""/&gt;&lt;pref name="automaticJournalAbbreviations" value="true"/&gt;&lt;pref name="noteType" value=""/&gt;&lt;/prefs&gt;&lt;/data&gt;</vt:lpwstr>
  </property>
</Properties>
</file>