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06382" w:rsidP="05B5A78F" w:rsidRDefault="00206382" w14:paraId="219E9E89" w14:textId="77777777">
      <w:pPr>
        <w:rPr>
          <w:b w:val="1"/>
          <w:bCs w:val="1"/>
          <w:color w:val="auto"/>
        </w:rPr>
      </w:pPr>
      <w:r w:rsidRPr="05B5A78F" w:rsidR="00206382">
        <w:rPr>
          <w:b w:val="1"/>
          <w:bCs w:val="1"/>
          <w:color w:val="auto"/>
        </w:rPr>
        <w:t>Microbi</w:t>
      </w:r>
      <w:r w:rsidRPr="05B5A78F" w:rsidR="00206382">
        <w:rPr>
          <w:b w:val="1"/>
          <w:bCs w:val="1"/>
          <w:color w:val="auto"/>
        </w:rPr>
        <w:t>al research</w:t>
      </w:r>
    </w:p>
    <w:p w:rsidR="00206382" w:rsidP="05B5A78F" w:rsidRDefault="00206382" w14:paraId="4B5F0E6A" w14:textId="5B51C9E1">
      <w:pPr>
        <w:pStyle w:val="NormalWeb"/>
        <w:shd w:val="clear" w:color="auto" w:fill="FFFFFF" w:themeFill="background1"/>
        <w:spacing w:before="0" w:beforeAutospacing="off" w:after="225" w:afterAutospacing="off"/>
        <w:rPr>
          <w:rFonts w:ascii="Calibri" w:hAnsi="Calibri" w:cs="Calibri" w:asciiTheme="minorAscii" w:hAnsiTheme="minorAscii" w:cstheme="minorAscii"/>
          <w:color w:val="auto"/>
          <w:sz w:val="22"/>
          <w:szCs w:val="22"/>
        </w:rPr>
      </w:pPr>
      <w:r w:rsidRPr="05B5A78F" w:rsidR="00206382">
        <w:rPr>
          <w:rFonts w:ascii="Calibri" w:hAnsi="Calibri" w:cs="Calibri" w:asciiTheme="minorAscii" w:hAnsiTheme="minorAscii" w:cstheme="minorAscii"/>
          <w:color w:val="auto"/>
          <w:sz w:val="22"/>
          <w:szCs w:val="22"/>
        </w:rPr>
        <w:t>Environmental metagenomics is the study of organisms in a microbial community based on analy</w:t>
      </w:r>
      <w:r w:rsidRPr="05B5A78F" w:rsidR="00602ACB">
        <w:rPr>
          <w:rFonts w:ascii="Calibri" w:hAnsi="Calibri" w:cs="Calibri" w:asciiTheme="minorAscii" w:hAnsiTheme="minorAscii" w:cstheme="minorAscii"/>
          <w:color w:val="auto"/>
          <w:sz w:val="22"/>
          <w:szCs w:val="22"/>
        </w:rPr>
        <w:t>s</w:t>
      </w:r>
      <w:r w:rsidRPr="05B5A78F" w:rsidR="00206382">
        <w:rPr>
          <w:rFonts w:ascii="Calibri" w:hAnsi="Calibri" w:cs="Calibri" w:asciiTheme="minorAscii" w:hAnsiTheme="minorAscii" w:cstheme="minorAscii"/>
          <w:color w:val="auto"/>
          <w:sz w:val="22"/>
          <w:szCs w:val="22"/>
        </w:rPr>
        <w:t>ing the DNA</w:t>
      </w:r>
      <w:r w:rsidRPr="05B5A78F" w:rsidR="009E6AFC">
        <w:rPr>
          <w:rFonts w:ascii="Calibri" w:hAnsi="Calibri" w:cs="Calibri" w:asciiTheme="minorAscii" w:hAnsiTheme="minorAscii" w:cstheme="minorAscii"/>
          <w:color w:val="auto"/>
          <w:sz w:val="22"/>
          <w:szCs w:val="22"/>
        </w:rPr>
        <w:t xml:space="preserve"> or RNA</w:t>
      </w:r>
      <w:r w:rsidRPr="05B5A78F" w:rsidR="00206382">
        <w:rPr>
          <w:rFonts w:ascii="Calibri" w:hAnsi="Calibri" w:cs="Calibri" w:asciiTheme="minorAscii" w:hAnsiTheme="minorAscii" w:cstheme="minorAscii"/>
          <w:color w:val="auto"/>
          <w:sz w:val="22"/>
          <w:szCs w:val="22"/>
        </w:rPr>
        <w:t xml:space="preserve"> within an environmental sample.</w:t>
      </w:r>
      <w:r w:rsidRPr="05B5A78F" w:rsidR="009E6AFC">
        <w:rPr>
          <w:rFonts w:ascii="Calibri" w:hAnsi="Calibri" w:cs="Calibri" w:asciiTheme="minorAscii" w:hAnsiTheme="minorAscii" w:cstheme="minorAscii"/>
          <w:color w:val="auto"/>
          <w:sz w:val="22"/>
          <w:szCs w:val="22"/>
        </w:rPr>
        <w:t xml:space="preserve"> </w:t>
      </w:r>
      <w:r w:rsidRPr="05B5A78F" w:rsidR="00206382">
        <w:rPr>
          <w:rFonts w:ascii="Calibri" w:hAnsi="Calibri" w:cs="Calibri" w:asciiTheme="minorAscii" w:hAnsiTheme="minorAscii" w:cstheme="minorAscii"/>
          <w:color w:val="auto"/>
          <w:sz w:val="22"/>
          <w:szCs w:val="22"/>
        </w:rPr>
        <w:t xml:space="preserve">Examples include profiling microbial populations in water samples taken from </w:t>
      </w:r>
      <w:r w:rsidRPr="05B5A78F" w:rsidR="009E6AFC">
        <w:rPr>
          <w:rFonts w:ascii="Calibri" w:hAnsi="Calibri" w:cs="Calibri" w:asciiTheme="minorAscii" w:hAnsiTheme="minorAscii" w:cstheme="minorAscii"/>
          <w:color w:val="auto"/>
          <w:sz w:val="22"/>
          <w:szCs w:val="22"/>
        </w:rPr>
        <w:t>wastewater</w:t>
      </w:r>
      <w:r w:rsidRPr="05B5A78F" w:rsidR="009E6AFC">
        <w:rPr>
          <w:rFonts w:ascii="Calibri" w:hAnsi="Calibri" w:cs="Calibri" w:asciiTheme="minorAscii" w:hAnsiTheme="minorAscii" w:cstheme="minorAscii"/>
          <w:color w:val="auto"/>
          <w:sz w:val="22"/>
          <w:szCs w:val="22"/>
        </w:rPr>
        <w:t>,</w:t>
      </w:r>
      <w:r w:rsidRPr="05B5A78F" w:rsidR="009E6AFC">
        <w:rPr>
          <w:rFonts w:ascii="Calibri" w:hAnsi="Calibri" w:cs="Calibri" w:asciiTheme="minorAscii" w:hAnsiTheme="minorAscii" w:cstheme="minorAscii"/>
          <w:color w:val="auto"/>
          <w:sz w:val="22"/>
          <w:szCs w:val="22"/>
        </w:rPr>
        <w:t xml:space="preserve"> </w:t>
      </w:r>
      <w:r w:rsidRPr="05B5A78F" w:rsidR="00206382">
        <w:rPr>
          <w:rFonts w:ascii="Calibri" w:hAnsi="Calibri" w:cs="Calibri" w:asciiTheme="minorAscii" w:hAnsiTheme="minorAscii" w:cstheme="minorAscii"/>
          <w:color w:val="auto"/>
          <w:sz w:val="22"/>
          <w:szCs w:val="22"/>
        </w:rPr>
        <w:t>deep ocean vents</w:t>
      </w:r>
      <w:r w:rsidRPr="05B5A78F" w:rsidR="009E6AFC">
        <w:rPr>
          <w:rFonts w:ascii="Calibri" w:hAnsi="Calibri" w:cs="Calibri" w:asciiTheme="minorAscii" w:hAnsiTheme="minorAscii" w:cstheme="minorAscii"/>
          <w:color w:val="auto"/>
          <w:sz w:val="22"/>
          <w:szCs w:val="22"/>
        </w:rPr>
        <w:t xml:space="preserve">, </w:t>
      </w:r>
      <w:r w:rsidRPr="05B5A78F" w:rsidR="00206382">
        <w:rPr>
          <w:rFonts w:ascii="Calibri" w:hAnsi="Calibri" w:cs="Calibri" w:asciiTheme="minorAscii" w:hAnsiTheme="minorAscii" w:cstheme="minorAscii"/>
          <w:color w:val="auto"/>
          <w:sz w:val="22"/>
          <w:szCs w:val="22"/>
        </w:rPr>
        <w:t xml:space="preserve">or in soil samples from human-made environments like active mineral mines. Environmental metagenomics study data are used for agricultural microbiome analysis, ecological remediation, </w:t>
      </w:r>
      <w:r w:rsidRPr="05B5A78F" w:rsidR="00602ACB">
        <w:rPr>
          <w:rFonts w:ascii="Calibri" w:hAnsi="Calibri" w:cs="Calibri" w:asciiTheme="minorAscii" w:hAnsiTheme="minorAscii" w:cstheme="minorAscii"/>
          <w:color w:val="auto"/>
          <w:sz w:val="22"/>
          <w:szCs w:val="22"/>
        </w:rPr>
        <w:t xml:space="preserve">population disease monitoring </w:t>
      </w:r>
      <w:r w:rsidRPr="05B5A78F" w:rsidR="00206382">
        <w:rPr>
          <w:rFonts w:ascii="Calibri" w:hAnsi="Calibri" w:cs="Calibri" w:asciiTheme="minorAscii" w:hAnsiTheme="minorAscii" w:cstheme="minorAscii"/>
          <w:color w:val="auto"/>
          <w:sz w:val="22"/>
          <w:szCs w:val="22"/>
        </w:rPr>
        <w:t>or other biological investigations.</w:t>
      </w:r>
    </w:p>
    <w:p w:rsidRPr="008F03A3" w:rsidR="008F03A3" w:rsidP="05B5A78F" w:rsidRDefault="008F03A3" w14:paraId="7BE33432" w14:textId="14BAD5C0">
      <w:pPr>
        <w:shd w:val="clear" w:color="auto" w:fill="FFFFFF" w:themeFill="background1"/>
        <w:spacing w:after="100" w:afterAutospacing="on" w:line="240" w:lineRule="auto"/>
        <w:rPr>
          <w:rFonts w:cs="Calibri" w:cstheme="minorAscii"/>
          <w:b w:val="1"/>
          <w:bCs w:val="1"/>
          <w:color w:val="auto"/>
        </w:rPr>
      </w:pPr>
      <w:r w:rsidRPr="05B5A78F" w:rsidR="091D5E4C">
        <w:rPr>
          <w:rFonts w:cs="Calibri" w:cstheme="minorAscii"/>
          <w:b w:val="1"/>
          <w:bCs w:val="1"/>
          <w:color w:val="auto"/>
        </w:rPr>
        <w:t>Nucleic acids consideration</w:t>
      </w:r>
    </w:p>
    <w:p w:rsidR="1840896C" w:rsidP="05B5A78F" w:rsidRDefault="1840896C" w14:paraId="381999CB" w14:textId="32BA4B15">
      <w:pPr>
        <w:pStyle w:val="Normal"/>
        <w:shd w:val="clear" w:color="auto" w:fill="FFFFFF" w:themeFill="background1"/>
        <w:spacing w:afterAutospacing="on" w:line="240" w:lineRule="auto"/>
        <w:rPr>
          <w:rFonts w:cs="Calibri" w:cstheme="minorAscii"/>
          <w:b w:val="1"/>
          <w:bCs w:val="1"/>
          <w:color w:val="auto"/>
        </w:rPr>
      </w:pPr>
    </w:p>
    <w:p w:rsidRPr="009E6AFC" w:rsidR="008F03A3" w:rsidP="05B5A78F" w:rsidRDefault="009E6AFC" w14:paraId="1551B9A5" w14:textId="5A47194A">
      <w:pPr>
        <w:shd w:val="clear" w:color="auto" w:fill="FFFFFF" w:themeFill="background1"/>
        <w:spacing w:after="100" w:afterAutospacing="on" w:line="240" w:lineRule="auto"/>
        <w:rPr>
          <w:rFonts w:eastAsia="Times New Roman" w:cs="Calibri" w:cstheme="minorAscii"/>
          <w:color w:val="auto"/>
          <w:lang w:eastAsia="en-GB"/>
        </w:rPr>
      </w:pPr>
      <w:r w:rsidRPr="05B5A78F" w:rsidR="009E6AFC">
        <w:rPr>
          <w:rFonts w:cs="Calibri" w:cstheme="minorAscii"/>
          <w:color w:val="auto"/>
        </w:rPr>
        <w:t xml:space="preserve">When designing </w:t>
      </w:r>
      <w:r w:rsidRPr="05B5A78F" w:rsidR="008F03A3">
        <w:rPr>
          <w:rFonts w:cs="Calibri" w:cstheme="minorAscii"/>
          <w:color w:val="auto"/>
        </w:rPr>
        <w:t>projects,</w:t>
      </w:r>
      <w:r w:rsidRPr="05B5A78F" w:rsidR="009E6AFC">
        <w:rPr>
          <w:rFonts w:cs="Calibri" w:cstheme="minorAscii"/>
          <w:color w:val="auto"/>
        </w:rPr>
        <w:t xml:space="preserve"> it is worth considering which nucleic acid would be most useful for analysis. RNA is degraded quickly in the environment and may accurately reflect active cells and RNA viruses. </w:t>
      </w:r>
      <w:r w:rsidRPr="05B5A78F" w:rsidR="008F03A3">
        <w:rPr>
          <w:rFonts w:eastAsia="Times New Roman" w:cs="Calibri" w:cstheme="minorAscii"/>
          <w:color w:val="auto"/>
          <w:lang w:eastAsia="en-GB"/>
        </w:rPr>
        <w:t xml:space="preserve">The DNA/RNA Shield™ reagent </w:t>
      </w:r>
      <w:r w:rsidRPr="05B5A78F" w:rsidR="008F03A3">
        <w:rPr>
          <w:rFonts w:eastAsia="Times New Roman" w:cs="Calibri" w:cstheme="minorAscii"/>
          <w:color w:val="auto"/>
          <w:lang w:eastAsia="en-GB"/>
        </w:rPr>
        <w:t>(</w:t>
      </w:r>
      <w:proofErr w:type="spellStart"/>
      <w:r w:rsidRPr="05B5A78F" w:rsidR="008F03A3">
        <w:rPr>
          <w:rFonts w:eastAsia="Times New Roman" w:cs="Calibri" w:cstheme="minorAscii"/>
          <w:color w:val="auto"/>
          <w:lang w:eastAsia="en-GB"/>
        </w:rPr>
        <w:t>Zymo</w:t>
      </w:r>
      <w:proofErr w:type="spellEnd"/>
      <w:r w:rsidRPr="05B5A78F" w:rsidR="008F03A3">
        <w:rPr>
          <w:rFonts w:eastAsia="Times New Roman" w:cs="Calibri" w:cstheme="minorAscii"/>
          <w:color w:val="auto"/>
          <w:lang w:eastAsia="en-GB"/>
        </w:rPr>
        <w:t xml:space="preserve"> Research</w:t>
      </w:r>
      <w:r w:rsidRPr="05B5A78F" w:rsidR="008F03A3">
        <w:rPr>
          <w:rFonts w:eastAsia="Times New Roman" w:cs="Calibri" w:cstheme="minorAscii"/>
          <w:color w:val="auto"/>
          <w:lang w:eastAsia="en-GB"/>
        </w:rPr>
        <w:t>, available from Cambridge Biosciences, UK)</w:t>
      </w:r>
      <w:r w:rsidRPr="05B5A78F" w:rsidR="008F03A3">
        <w:rPr>
          <w:rFonts w:eastAsia="Times New Roman" w:cs="Calibri" w:cstheme="minorAscii"/>
          <w:color w:val="auto"/>
          <w:lang w:eastAsia="en-GB"/>
        </w:rPr>
        <w:t xml:space="preserve"> is a DNA and RNA stabilisation solution which preserves the genetic integrity and expression profiles of samples at ambient temperatures, whilst completely inactivating infectious agents </w:t>
      </w:r>
      <w:r w:rsidRPr="05B5A78F" w:rsidR="3176AD30">
        <w:rPr>
          <w:rFonts w:eastAsia="Times New Roman" w:cs="Calibri" w:cstheme="minorAscii"/>
          <w:color w:val="auto"/>
          <w:lang w:eastAsia="en-GB"/>
        </w:rPr>
        <w:t xml:space="preserve">including </w:t>
      </w:r>
      <w:r w:rsidRPr="05B5A78F" w:rsidR="008F03A3">
        <w:rPr>
          <w:rFonts w:eastAsia="Times New Roman" w:cs="Calibri" w:cstheme="minorAscii"/>
          <w:color w:val="auto"/>
          <w:lang w:eastAsia="en-GB"/>
        </w:rPr>
        <w:t xml:space="preserve">viruses, bacteria, </w:t>
      </w:r>
      <w:r w:rsidRPr="05B5A78F" w:rsidR="008F03A3">
        <w:rPr>
          <w:rFonts w:eastAsia="Times New Roman" w:cs="Calibri" w:cstheme="minorAscii"/>
          <w:color w:val="auto"/>
          <w:lang w:eastAsia="en-GB"/>
        </w:rPr>
        <w:t>fungi</w:t>
      </w:r>
      <w:r w:rsidRPr="05B5A78F" w:rsidR="008F03A3">
        <w:rPr>
          <w:rFonts w:eastAsia="Times New Roman" w:cs="Calibri" w:cstheme="minorAscii"/>
          <w:color w:val="auto"/>
          <w:lang w:eastAsia="en-GB"/>
        </w:rPr>
        <w:t xml:space="preserve"> and parasites. Th</w:t>
      </w:r>
      <w:r w:rsidRPr="05B5A78F" w:rsidR="008F03A3">
        <w:rPr>
          <w:rFonts w:eastAsia="Times New Roman" w:cs="Calibri" w:cstheme="minorAscii"/>
          <w:color w:val="auto"/>
          <w:lang w:eastAsia="en-GB"/>
        </w:rPr>
        <w:t xml:space="preserve">e </w:t>
      </w:r>
      <w:r w:rsidRPr="05B5A78F" w:rsidR="008F03A3">
        <w:rPr>
          <w:rFonts w:eastAsia="Times New Roman" w:cs="Calibri" w:cstheme="minorAscii"/>
          <w:color w:val="auto"/>
          <w:lang w:eastAsia="en-GB"/>
        </w:rPr>
        <w:t xml:space="preserve">solution prevents degradation from freeze-thaw cycling and </w:t>
      </w:r>
      <w:r w:rsidRPr="05B5A78F" w:rsidR="53943727">
        <w:rPr>
          <w:rFonts w:eastAsia="Times New Roman" w:cs="Calibri" w:cstheme="minorAscii"/>
          <w:color w:val="auto"/>
          <w:lang w:eastAsia="en-GB"/>
        </w:rPr>
        <w:t>enables shipping at</w:t>
      </w:r>
      <w:r w:rsidRPr="05B5A78F" w:rsidR="008F03A3">
        <w:rPr>
          <w:rFonts w:eastAsia="Times New Roman" w:cs="Calibri" w:cstheme="minorAscii"/>
          <w:color w:val="auto"/>
          <w:lang w:eastAsia="en-GB"/>
        </w:rPr>
        <w:t xml:space="preserve"> ambient temperature.</w:t>
      </w:r>
      <w:r w:rsidRPr="05B5A78F" w:rsidR="008F03A3">
        <w:rPr>
          <w:rFonts w:eastAsia="Times New Roman" w:cs="Calibri" w:cstheme="minorAscii"/>
          <w:color w:val="auto"/>
          <w:lang w:eastAsia="en-GB"/>
        </w:rPr>
        <w:t xml:space="preserve"> </w:t>
      </w:r>
    </w:p>
    <w:p w:rsidRPr="009E6AFC" w:rsidR="008F03A3" w:rsidP="05B5A78F" w:rsidRDefault="009E6AFC" w14:paraId="0FF964A7" w14:textId="23A63177">
      <w:pPr>
        <w:shd w:val="clear" w:color="auto" w:fill="FFFFFF" w:themeFill="background1"/>
        <w:spacing w:after="100" w:afterAutospacing="on" w:line="240" w:lineRule="auto"/>
        <w:rPr>
          <w:rFonts w:eastAsia="Times New Roman" w:cs="Calibri" w:cstheme="minorAscii"/>
          <w:color w:val="auto"/>
          <w:lang w:eastAsia="en-GB"/>
        </w:rPr>
      </w:pPr>
      <w:r w:rsidRPr="05B5A78F" w:rsidR="008F03A3">
        <w:rPr>
          <w:rFonts w:eastAsia="Times New Roman" w:cs="Calibri" w:cstheme="minorAscii"/>
          <w:color w:val="auto"/>
          <w:lang w:eastAsia="en-GB"/>
        </w:rPr>
        <w:t xml:space="preserve"> </w:t>
      </w:r>
    </w:p>
    <w:p w:rsidR="009E6AFC" w:rsidP="05B5A78F" w:rsidRDefault="008F03A3" w14:paraId="61A48833" w14:textId="3883FE6A">
      <w:pPr>
        <w:pStyle w:val="NormalWeb"/>
        <w:shd w:val="clear" w:color="auto" w:fill="FFFFFF" w:themeFill="background1"/>
        <w:spacing w:before="0" w:beforeAutospacing="off" w:after="225" w:afterAutospacing="off"/>
        <w:rPr>
          <w:rStyle w:val="eop"/>
          <w:rFonts w:ascii="Calibri" w:hAnsi="Calibri" w:cs="Calibri"/>
          <w:color w:val="auto"/>
          <w:sz w:val="22"/>
          <w:szCs w:val="22"/>
          <w:shd w:val="clear" w:color="auto" w:fill="FFFFFF"/>
        </w:rPr>
      </w:pPr>
      <w:r w:rsidRPr="05B5A78F" w:rsidR="008F03A3">
        <w:rPr>
          <w:rFonts w:ascii="Calibri" w:hAnsi="Calibri" w:cs="Calibri" w:asciiTheme="minorAscii" w:hAnsiTheme="minorAscii" w:cstheme="minorAscii"/>
          <w:color w:val="auto"/>
          <w:sz w:val="22"/>
          <w:szCs w:val="22"/>
        </w:rPr>
        <w:t xml:space="preserve">DNA is more stable than RNA so dormant and dead cells may contribute to DNA isolated from the environment. </w:t>
      </w:r>
      <w:r w:rsidRPr="05B5A78F" w:rsidR="008F03A3">
        <w:rPr>
          <w:rStyle w:val="normaltextrun"/>
          <w:rFonts w:ascii="Calibri" w:hAnsi="Calibri" w:cs="Calibri"/>
          <w:color w:val="auto"/>
          <w:sz w:val="22"/>
          <w:szCs w:val="22"/>
          <w:shd w:val="clear" w:color="auto" w:fill="FFFFFF"/>
        </w:rPr>
        <w:t>A propidium </w:t>
      </w:r>
      <w:proofErr w:type="spellStart"/>
      <w:r w:rsidRPr="05B5A78F" w:rsidR="008F03A3">
        <w:rPr>
          <w:rStyle w:val="normaltextrun"/>
          <w:rFonts w:ascii="Calibri" w:hAnsi="Calibri" w:cs="Calibri"/>
          <w:color w:val="auto"/>
          <w:sz w:val="22"/>
          <w:szCs w:val="22"/>
          <w:shd w:val="clear" w:color="auto" w:fill="FFFFFF"/>
        </w:rPr>
        <w:t>monoazide</w:t>
      </w:r>
      <w:proofErr w:type="spellEnd"/>
      <w:r w:rsidRPr="05B5A78F" w:rsidR="008F03A3">
        <w:rPr>
          <w:rStyle w:val="normaltextrun"/>
          <w:rFonts w:ascii="Calibri" w:hAnsi="Calibri" w:cs="Calibri"/>
          <w:color w:val="auto"/>
          <w:sz w:val="22"/>
          <w:szCs w:val="22"/>
          <w:shd w:val="clear" w:color="auto" w:fill="FFFFFF"/>
        </w:rPr>
        <w:t> (PMA) </w:t>
      </w:r>
      <w:proofErr w:type="spellStart"/>
      <w:r w:rsidRPr="05B5A78F" w:rsidR="008F03A3">
        <w:rPr>
          <w:rStyle w:val="normaltextrun"/>
          <w:rFonts w:ascii="Calibri" w:hAnsi="Calibri" w:cs="Calibri"/>
          <w:color w:val="auto"/>
          <w:sz w:val="22"/>
          <w:szCs w:val="22"/>
          <w:shd w:val="clear" w:color="auto" w:fill="FFFFFF"/>
        </w:rPr>
        <w:t>pretreatment</w:t>
      </w:r>
      <w:proofErr w:type="spellEnd"/>
      <w:r w:rsidRPr="05B5A78F" w:rsidR="008F03A3">
        <w:rPr>
          <w:rStyle w:val="normaltextrun"/>
          <w:rFonts w:ascii="Calibri" w:hAnsi="Calibri" w:cs="Calibri"/>
          <w:color w:val="auto"/>
          <w:sz w:val="22"/>
          <w:szCs w:val="22"/>
          <w:shd w:val="clear" w:color="auto" w:fill="FFFFFF"/>
        </w:rPr>
        <w:t> step before PCR</w:t>
      </w:r>
      <w:r w:rsidRPr="05B5A78F" w:rsidR="008F03A3">
        <w:rPr>
          <w:rStyle w:val="normaltextrun"/>
          <w:rFonts w:ascii="Calibri" w:hAnsi="Calibri" w:cs="Calibri"/>
          <w:color w:val="auto"/>
          <w:sz w:val="22"/>
          <w:szCs w:val="22"/>
          <w:shd w:val="clear" w:color="auto" w:fill="FFFFFF"/>
        </w:rPr>
        <w:t>/library preparation</w:t>
      </w:r>
      <w:r w:rsidRPr="05B5A78F" w:rsidR="008F03A3">
        <w:rPr>
          <w:rStyle w:val="normaltextrun"/>
          <w:rFonts w:ascii="Calibri" w:hAnsi="Calibri" w:cs="Calibri"/>
          <w:color w:val="auto"/>
          <w:sz w:val="22"/>
          <w:szCs w:val="22"/>
          <w:shd w:val="clear" w:color="auto" w:fill="FFFFFF"/>
        </w:rPr>
        <w:t xml:space="preserve"> can effectively exclude DNA from nonviable cells, as PMA can selectively diffuse through compromised cell membranes and intercalate with DNA to form DNA–PMA complex upon light exposure. The complex strongly inhibits the amplification of the bound DNA in PCR, and thus, only cells with intact cell membranes are detected.</w:t>
      </w:r>
      <w:r w:rsidRPr="05B5A78F" w:rsidR="008F03A3">
        <w:rPr>
          <w:rStyle w:val="eop"/>
          <w:rFonts w:ascii="Calibri" w:hAnsi="Calibri" w:cs="Calibri"/>
          <w:color w:val="auto"/>
          <w:sz w:val="22"/>
          <w:szCs w:val="22"/>
          <w:shd w:val="clear" w:color="auto" w:fill="FFFFFF"/>
        </w:rPr>
        <w:t> </w:t>
      </w:r>
    </w:p>
    <w:p w:rsidR="00294F52" w:rsidP="1840896C" w:rsidRDefault="00294F52" w14:textId="70FFE138" w14:paraId="274FEDA8">
      <w:pPr>
        <w:pStyle w:val="NormalWeb"/>
        <w:shd w:val="clear" w:color="auto" w:fill="FFFFFF" w:themeFill="background1"/>
        <w:spacing w:before="0" w:beforeAutospacing="off" w:after="225" w:afterAutospacing="off"/>
        <w:rPr>
          <w:rFonts w:ascii="Calibri" w:hAnsi="Calibri" w:cs="Calibri"/>
          <w:color w:val="000000" w:themeColor="text1" w:themeTint="FF" w:themeShade="FF"/>
          <w:sz w:val="22"/>
          <w:szCs w:val="22"/>
        </w:rPr>
      </w:pPr>
      <w:r w:rsidRPr="00294F52" w:rsidR="07818DEB">
        <w:rPr>
          <w:rStyle w:val="eop"/>
          <w:rFonts w:ascii="Calibri" w:hAnsi="Calibri" w:cs="Calibri"/>
          <w:b w:val="1"/>
          <w:bCs w:val="1"/>
          <w:color w:val="000000"/>
          <w:sz w:val="22"/>
          <w:szCs w:val="22"/>
          <w:shd w:val="clear" w:color="auto" w:fill="FFFFFF"/>
        </w:rPr>
        <w:t>Isolation of Nucleic Acids</w:t>
      </w:r>
    </w:p>
    <w:p w:rsidR="00294F52" w:rsidP="1840896C" w:rsidRDefault="00294F52" w14:paraId="78EF6BB3" w14:textId="5B5FEAD1">
      <w:pPr>
        <w:pStyle w:val="NormalWeb"/>
        <w:shd w:val="clear" w:color="auto" w:fill="FFFFFF" w:themeFill="background1"/>
        <w:spacing w:before="0" w:beforeAutospacing="off" w:after="225" w:afterAutospacing="off"/>
        <w:rPr>
          <w:rFonts w:ascii="Calibri" w:hAnsi="Calibri" w:cs="Calibri"/>
          <w:color w:val="000000"/>
          <w:sz w:val="22"/>
          <w:szCs w:val="22"/>
          <w:shd w:val="clear" w:color="auto" w:fill="FFFFFF"/>
        </w:rPr>
      </w:pPr>
      <w:r w:rsidRPr="05B5A78F" w:rsidR="07818DEB">
        <w:rPr>
          <w:rStyle w:val="eop"/>
          <w:rFonts w:ascii="Calibri" w:hAnsi="Calibri" w:cs="Calibri"/>
          <w:color w:val="auto"/>
          <w:sz w:val="22"/>
          <w:szCs w:val="22"/>
          <w:shd w:val="clear" w:color="auto" w:fill="FFFFFF"/>
        </w:rPr>
        <w:t xml:space="preserve">Standard methods can be used for DNA or RNA isolation however the impact of the chosen method can </w:t>
      </w:r>
      <w:r w:rsidRPr="05B5A78F" w:rsidR="62A6D7DC">
        <w:rPr>
          <w:rStyle w:val="eop"/>
          <w:rFonts w:ascii="Calibri" w:hAnsi="Calibri" w:cs="Calibri"/>
          <w:color w:val="auto"/>
          <w:sz w:val="22"/>
          <w:szCs w:val="22"/>
          <w:shd w:val="clear" w:color="auto" w:fill="FFFFFF"/>
        </w:rPr>
        <w:t xml:space="preserve">only </w:t>
      </w:r>
      <w:r w:rsidRPr="05B5A78F" w:rsidR="07818DEB">
        <w:rPr>
          <w:rStyle w:val="eop"/>
          <w:rFonts w:ascii="Calibri" w:hAnsi="Calibri" w:cs="Calibri"/>
          <w:color w:val="auto"/>
          <w:sz w:val="22"/>
          <w:szCs w:val="22"/>
          <w:shd w:val="clear" w:color="auto" w:fill="FFFFFF"/>
        </w:rPr>
        <w:t xml:space="preserve">be determined if internal controls are </w:t>
      </w:r>
      <w:r w:rsidRPr="05B5A78F" w:rsidR="7F0AFC64">
        <w:rPr>
          <w:rStyle w:val="eop"/>
          <w:rFonts w:ascii="Calibri" w:hAnsi="Calibri" w:cs="Calibri"/>
          <w:color w:val="auto"/>
          <w:sz w:val="22"/>
          <w:szCs w:val="22"/>
          <w:shd w:val="clear" w:color="auto" w:fill="FFFFFF"/>
        </w:rPr>
        <w:t xml:space="preserve">us</w:t>
      </w:r>
      <w:r w:rsidRPr="05B5A78F" w:rsidR="05375CD8">
        <w:rPr>
          <w:rStyle w:val="eop"/>
          <w:rFonts w:ascii="Calibri" w:hAnsi="Calibri" w:cs="Calibri"/>
          <w:color w:val="auto"/>
          <w:sz w:val="22"/>
          <w:szCs w:val="22"/>
          <w:shd w:val="clear" w:color="auto" w:fill="FFFFFF"/>
        </w:rPr>
        <w:t xml:space="preserve">ed</w:t>
      </w:r>
      <w:r w:rsidRPr="05B5A78F" w:rsidR="07818DEB">
        <w:rPr>
          <w:rStyle w:val="eop"/>
          <w:rFonts w:ascii="Calibri" w:hAnsi="Calibri" w:cs="Calibri"/>
          <w:color w:val="auto"/>
          <w:sz w:val="22"/>
          <w:szCs w:val="22"/>
          <w:shd w:val="clear" w:color="auto" w:fill="FFFFFF"/>
        </w:rPr>
        <w:t xml:space="preserve">. </w:t>
      </w:r>
      <w:r w:rsidRPr="05B5A78F" w:rsidR="62A6D7DC">
        <w:rPr>
          <w:rFonts w:ascii="Calibri" w:hAnsi="Calibri" w:cs="Calibri"/>
          <w:color w:val="auto"/>
          <w:sz w:val="22"/>
          <w:szCs w:val="22"/>
          <w:shd w:val="clear" w:color="auto" w:fill="FFFFFF"/>
        </w:rPr>
        <w:t>Quality control st</w:t>
      </w:r>
      <w:r w:rsidRPr="05B5A78F" w:rsidR="62A6D7DC">
        <w:rPr>
          <w:rFonts w:ascii="Calibri" w:hAnsi="Calibri" w:cs="Calibri"/>
          <w:color w:val="auto"/>
          <w:sz w:val="22"/>
          <w:szCs w:val="22"/>
          <w:shd w:val="clear" w:color="auto" w:fill="FFFFFF"/>
        </w:rPr>
        <w:t>andards can be included to estimate</w:t>
      </w:r>
      <w:r w:rsidRPr="05B5A78F" w:rsidR="62A6D7DC">
        <w:rPr>
          <w:rFonts w:ascii="Calibri" w:hAnsi="Calibri" w:cs="Calibri"/>
          <w:color w:val="auto"/>
          <w:sz w:val="22"/>
          <w:szCs w:val="22"/>
          <w:shd w:val="clear" w:color="auto" w:fill="FFFFFF"/>
        </w:rPr>
        <w:t xml:space="preserve"> potential sources of error and bias </w:t>
      </w:r>
      <w:r w:rsidRPr="05B5A78F" w:rsidR="62A6D7DC">
        <w:rPr>
          <w:rFonts w:ascii="Calibri" w:hAnsi="Calibri" w:cs="Calibri"/>
          <w:color w:val="auto"/>
          <w:sz w:val="22"/>
          <w:szCs w:val="22"/>
          <w:shd w:val="clear" w:color="auto" w:fill="FFFFFF"/>
        </w:rPr>
        <w:t>f</w:t>
      </w:r>
      <w:r w:rsidRPr="05B5A78F" w:rsidR="62A6D7DC">
        <w:rPr>
          <w:rFonts w:ascii="Calibri" w:hAnsi="Calibri" w:cs="Calibri"/>
          <w:color w:val="auto"/>
          <w:sz w:val="22"/>
          <w:szCs w:val="22"/>
          <w:shd w:val="clear" w:color="auto" w:fill="FFFFFF"/>
        </w:rPr>
        <w:t>rom sample collection to sequencing</w:t>
      </w:r>
      <w:r w:rsidRPr="05B5A78F" w:rsidR="62A6D7DC">
        <w:rPr>
          <w:rFonts w:ascii="Calibri" w:hAnsi="Calibri" w:cs="Calibri"/>
          <w:color w:val="auto"/>
          <w:sz w:val="22"/>
          <w:szCs w:val="22"/>
          <w:shd w:val="clear" w:color="auto" w:fill="FFFFFF"/>
        </w:rPr>
        <w:t>.</w:t>
      </w:r>
      <w:r w:rsidRPr="05B5A78F" w:rsidR="62A6D7DC">
        <w:rPr>
          <w:rFonts w:ascii="Calibri" w:hAnsi="Calibri" w:cs="Calibri"/>
          <w:color w:val="auto"/>
          <w:sz w:val="22"/>
          <w:szCs w:val="22"/>
          <w:shd w:val="clear" w:color="auto" w:fill="FFFFFF"/>
        </w:rPr>
        <w:t xml:space="preserve"> </w:t>
      </w:r>
      <w:r w:rsidRPr="05B5A78F" w:rsidR="62A6D7DC">
        <w:rPr>
          <w:rFonts w:ascii="Calibri" w:hAnsi="Calibri" w:cs="Calibri"/>
          <w:color w:val="auto"/>
          <w:sz w:val="22"/>
          <w:szCs w:val="22"/>
          <w:shd w:val="clear" w:color="auto" w:fill="FFFFFF"/>
        </w:rPr>
        <w:t>T</w:t>
      </w:r>
      <w:r w:rsidRPr="05B5A78F" w:rsidR="62A6D7DC">
        <w:rPr>
          <w:rFonts w:ascii="Calibri" w:hAnsi="Calibri" w:cs="Calibri"/>
          <w:color w:val="auto"/>
          <w:sz w:val="22"/>
          <w:szCs w:val="22"/>
          <w:shd w:val="clear" w:color="auto" w:fill="FFFFFF"/>
        </w:rPr>
        <w:t xml:space="preserve">he potential for variation at each step in the </w:t>
      </w:r>
      <w:proofErr w:type="spellStart"/>
      <w:r w:rsidRPr="05B5A78F" w:rsidR="62A6D7DC">
        <w:rPr>
          <w:rFonts w:ascii="Calibri" w:hAnsi="Calibri" w:cs="Calibri"/>
          <w:color w:val="auto"/>
          <w:sz w:val="22"/>
          <w:szCs w:val="22"/>
          <w:shd w:val="clear" w:color="auto" w:fill="FFFFFF"/>
        </w:rPr>
        <w:t>microbiomic</w:t>
      </w:r>
      <w:proofErr w:type="spellEnd"/>
      <w:r w:rsidRPr="05B5A78F" w:rsidR="62A6D7DC">
        <w:rPr>
          <w:rFonts w:ascii="Calibri" w:hAnsi="Calibri" w:cs="Calibri"/>
          <w:color w:val="auto"/>
          <w:sz w:val="22"/>
          <w:szCs w:val="22"/>
          <w:shd w:val="clear" w:color="auto" w:fill="FFFFFF"/>
        </w:rPr>
        <w:t xml:space="preserve"> </w:t>
      </w:r>
      <w:r w:rsidRPr="05B5A78F" w:rsidR="62A6D7DC">
        <w:rPr>
          <w:rFonts w:ascii="Calibri" w:hAnsi="Calibri" w:cs="Calibri"/>
          <w:color w:val="auto"/>
          <w:sz w:val="22"/>
          <w:szCs w:val="22"/>
          <w:shd w:val="clear" w:color="auto" w:fill="FFFFFF"/>
        </w:rPr>
        <w:t xml:space="preserve">or metagenomic </w:t>
      </w:r>
      <w:r w:rsidRPr="05B5A78F" w:rsidR="62A6D7DC">
        <w:rPr>
          <w:rFonts w:ascii="Calibri" w:hAnsi="Calibri" w:cs="Calibri"/>
          <w:color w:val="auto"/>
          <w:sz w:val="22"/>
          <w:szCs w:val="22"/>
          <w:shd w:val="clear" w:color="auto" w:fill="FFFFFF"/>
        </w:rPr>
        <w:t>workflow is enormous.</w:t>
      </w:r>
      <w:r w:rsidRPr="05B5A78F" w:rsidR="62A6D7DC">
        <w:rPr>
          <w:rFonts w:ascii="Calibri" w:hAnsi="Calibri" w:cs="Calibri"/>
          <w:color w:val="auto"/>
          <w:sz w:val="22"/>
          <w:szCs w:val="22"/>
          <w:shd w:val="clear" w:color="auto" w:fill="FFFFFF"/>
        </w:rPr>
        <w:t xml:space="preserve"> Microbial cell standards can be used to assess the DNA isolation bias, whereas </w:t>
      </w:r>
      <w:r w:rsidRPr="05B5A78F" w:rsidR="0567E4F9">
        <w:rPr>
          <w:rFonts w:ascii="Calibri" w:hAnsi="Calibri" w:cs="Calibri"/>
          <w:color w:val="auto"/>
          <w:sz w:val="22"/>
          <w:szCs w:val="22"/>
          <w:shd w:val="clear" w:color="auto" w:fill="FFFFFF"/>
        </w:rPr>
        <w:t>Isolated</w:t>
      </w:r>
      <w:r w:rsidRPr="05B5A78F" w:rsidR="62A6D7DC">
        <w:rPr>
          <w:rFonts w:ascii="Calibri" w:hAnsi="Calibri" w:cs="Calibri"/>
          <w:color w:val="auto"/>
          <w:sz w:val="22"/>
          <w:szCs w:val="22"/>
          <w:shd w:val="clear" w:color="auto" w:fill="FFFFFF"/>
        </w:rPr>
        <w:t xml:space="preserve"> DNA standards can be used to</w:t>
      </w:r>
      <w:r w:rsidRPr="05B5A78F" w:rsidR="0567E4F9">
        <w:rPr>
          <w:rFonts w:ascii="Calibri" w:hAnsi="Calibri" w:cs="Calibri"/>
          <w:color w:val="auto"/>
          <w:sz w:val="22"/>
          <w:szCs w:val="22"/>
          <w:shd w:val="clear" w:color="auto" w:fill="FFFFFF"/>
        </w:rPr>
        <w:t xml:space="preserve"> assess the library preparation and sequencing bias.</w:t>
      </w:r>
      <w:r w:rsidR="0567E4F9">
        <w:rPr>
          <w:rFonts w:ascii="Calibri" w:hAnsi="Calibri" w:cs="Calibri"/>
          <w:color w:val="000000"/>
          <w:sz w:val="22"/>
          <w:szCs w:val="22"/>
          <w:shd w:val="clear" w:color="auto" w:fill="FFFFFF"/>
        </w:rPr>
        <w:t xml:space="preserve"> </w:t>
      </w:r>
      <w:hyperlink w:history="1" r:id="R96159de6b1114c25">
        <w:r w:rsidRPr="009A7EFA" w:rsidR="0567E4F9">
          <w:rPr>
            <w:rStyle w:val="Hyperlink"/>
            <w:rFonts w:ascii="Calibri" w:hAnsi="Calibri" w:cs="Calibri"/>
            <w:sz w:val="22"/>
            <w:szCs w:val="22"/>
            <w:shd w:val="clear" w:color="auto" w:fill="FFFFFF"/>
          </w:rPr>
          <w:t>https://www.bioscience.co.uk/products/zymobiomics-microbial-community-standards</w:t>
        </w:r>
      </w:hyperlink>
    </w:p>
    <w:p w:rsidR="00C93E62" w:rsidP="05B5A78F" w:rsidRDefault="00C93E62" w14:paraId="3F7661E3" w14:textId="41B7F73D">
      <w:pPr>
        <w:pStyle w:val="NormalWeb"/>
        <w:shd w:val="clear" w:color="auto" w:fill="FFFFFF" w:themeFill="background1"/>
        <w:spacing w:before="0" w:beforeAutospacing="off" w:after="225" w:afterAutospacing="off"/>
        <w:rPr>
          <w:rFonts w:ascii="Calibri" w:hAnsi="Calibri" w:cs="Calibri"/>
          <w:color w:val="000000"/>
          <w:sz w:val="22"/>
          <w:szCs w:val="22"/>
          <w:shd w:val="clear" w:color="auto" w:fill="FFFFFF"/>
        </w:rPr>
      </w:pPr>
      <w:r w:rsidR="7431FE4E">
        <w:rPr>
          <w:rFonts w:ascii="Calibri" w:hAnsi="Calibri" w:cs="Calibri"/>
          <w:color w:val="000000"/>
          <w:sz w:val="22"/>
          <w:szCs w:val="22"/>
          <w:shd w:val="clear" w:color="auto" w:fill="FFFFFF"/>
        </w:rPr>
        <w:t xml:space="preserve">In addition, </w:t>
      </w:r>
      <w:r w:rsidR="00C93E62">
        <w:rPr>
          <w:rFonts w:ascii="Calibri" w:hAnsi="Calibri" w:cs="Calibri"/>
          <w:color w:val="000000"/>
          <w:sz w:val="22"/>
          <w:szCs w:val="22"/>
          <w:shd w:val="clear" w:color="auto" w:fill="FFFFFF"/>
        </w:rPr>
        <w:t xml:space="preserve">nternal Spike-in for DNA or RNA library preparation can be used to calculate relative abundance and provide an additional level of control. </w:t>
      </w:r>
    </w:p>
    <w:p w:rsidR="008B6C7D" w:rsidP="00206382" w:rsidRDefault="008B6C7D" w14:paraId="49F41BBC" w14:textId="21A21183">
      <w:pPr>
        <w:pStyle w:val="NormalWeb"/>
        <w:shd w:val="clear" w:color="auto" w:fill="FFFFFF"/>
        <w:spacing w:before="0" w:beforeAutospacing="0" w:after="225" w:afterAutospacing="0"/>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Correct selection of controls will ensure: </w:t>
      </w:r>
    </w:p>
    <w:p w:rsidR="008B6C7D" w:rsidP="008B6C7D" w:rsidRDefault="008B6C7D" w14:paraId="31C8FCED" w14:textId="635E5942">
      <w:pPr>
        <w:pStyle w:val="NormalWeb"/>
        <w:numPr>
          <w:ilvl w:val="0"/>
          <w:numId w:val="1"/>
        </w:numPr>
        <w:shd w:val="clear" w:color="auto" w:fill="FFFFFF"/>
        <w:spacing w:before="0" w:beforeAutospacing="0" w:after="225" w:afterAutospacing="0"/>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General benchmarking and provide a positive control for microbiome profiling</w:t>
      </w:r>
    </w:p>
    <w:p w:rsidR="008B6C7D" w:rsidP="008B6C7D" w:rsidRDefault="008B6C7D" w14:paraId="3593172A" w14:textId="69712442">
      <w:pPr>
        <w:pStyle w:val="NormalWeb"/>
        <w:numPr>
          <w:ilvl w:val="0"/>
          <w:numId w:val="1"/>
        </w:numPr>
        <w:shd w:val="clear" w:color="auto" w:fill="FFFFFF"/>
        <w:spacing w:before="0" w:beforeAutospacing="0" w:after="225" w:afterAutospacing="0"/>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Assess detection limit and sensitivity</w:t>
      </w:r>
    </w:p>
    <w:p w:rsidRPr="00750E31" w:rsidR="008B6C7D" w:rsidP="008B6C7D" w:rsidRDefault="008B6C7D" w14:paraId="1838445B" w14:textId="1153B1B1">
      <w:pPr>
        <w:pStyle w:val="NormalWeb"/>
        <w:numPr>
          <w:ilvl w:val="0"/>
          <w:numId w:val="1"/>
        </w:numPr>
        <w:shd w:val="clear" w:color="auto" w:fill="FFFFFF"/>
        <w:spacing w:before="0" w:beforeAutospacing="0" w:after="225" w:afterAutospacing="0"/>
        <w:rPr>
          <w:rFonts w:ascii="Calibri" w:hAnsi="Calibri" w:cs="Calibri"/>
          <w:b/>
          <w:bCs/>
          <w:color w:val="000000"/>
          <w:sz w:val="22"/>
          <w:szCs w:val="22"/>
          <w:shd w:val="clear" w:color="auto" w:fill="FFFFFF"/>
        </w:rPr>
      </w:pPr>
      <w:r>
        <w:rPr>
          <w:rFonts w:ascii="Calibri" w:hAnsi="Calibri" w:cs="Calibri"/>
          <w:color w:val="000000"/>
          <w:sz w:val="22"/>
          <w:szCs w:val="22"/>
          <w:shd w:val="clear" w:color="auto" w:fill="FFFFFF"/>
        </w:rPr>
        <w:t>Absolute quantification of bacterial load (separate controls for high or low loads)</w:t>
      </w:r>
    </w:p>
    <w:p w:rsidRPr="008B6C7D" w:rsidR="00750E31" w:rsidP="00750E31" w:rsidRDefault="00750E31" w14:paraId="52D493F7" w14:textId="5562747A">
      <w:pPr>
        <w:pStyle w:val="NormalWeb"/>
        <w:shd w:val="clear" w:color="auto" w:fill="FFFFFF"/>
        <w:spacing w:before="0" w:beforeAutospacing="0" w:after="225" w:afterAutospacing="0"/>
        <w:rPr>
          <w:rFonts w:ascii="Calibri" w:hAnsi="Calibri" w:cs="Calibri"/>
          <w:b/>
          <w:bCs/>
          <w:color w:val="000000"/>
          <w:sz w:val="22"/>
          <w:szCs w:val="22"/>
          <w:shd w:val="clear" w:color="auto" w:fill="FFFFFF"/>
        </w:rPr>
      </w:pPr>
      <w:r>
        <w:rPr>
          <w:rFonts w:ascii="Calibri" w:hAnsi="Calibri" w:cs="Calibri"/>
          <w:color w:val="000000"/>
          <w:sz w:val="22"/>
          <w:szCs w:val="22"/>
          <w:shd w:val="clear" w:color="auto" w:fill="FFFFFF"/>
        </w:rPr>
        <w:t>Please include negative controls at the nucleic acid isolation stage. These are easily overlooked, and many labs have contaminating species in unexpected places!</w:t>
      </w:r>
    </w:p>
    <w:p w:rsidR="00C93E62" w:rsidP="008B6C7D" w:rsidRDefault="00C93E62" w14:paraId="49466F3E" w14:textId="2CCEE51D">
      <w:pPr>
        <w:pStyle w:val="NormalWeb"/>
        <w:shd w:val="clear" w:color="auto" w:fill="FFFFFF"/>
        <w:spacing w:before="0" w:beforeAutospacing="0" w:after="225" w:afterAutospacing="0"/>
        <w:rPr>
          <w:rFonts w:ascii="Calibri" w:hAnsi="Calibri" w:cs="Calibri"/>
          <w:b/>
          <w:bCs/>
          <w:color w:val="000000"/>
          <w:sz w:val="22"/>
          <w:szCs w:val="22"/>
          <w:shd w:val="clear" w:color="auto" w:fill="FFFFFF"/>
        </w:rPr>
      </w:pPr>
      <w:r w:rsidRPr="00194337">
        <w:rPr>
          <w:rFonts w:ascii="Calibri" w:hAnsi="Calibri" w:cs="Calibri"/>
          <w:b/>
          <w:bCs/>
          <w:color w:val="000000"/>
          <w:sz w:val="22"/>
          <w:szCs w:val="22"/>
          <w:shd w:val="clear" w:color="auto" w:fill="FFFFFF"/>
        </w:rPr>
        <w:t>Amplicon sequencing or whole metagenomic</w:t>
      </w:r>
      <w:r w:rsidRPr="00194337" w:rsidR="00194337">
        <w:rPr>
          <w:rFonts w:ascii="Calibri" w:hAnsi="Calibri" w:cs="Calibri"/>
          <w:b/>
          <w:bCs/>
          <w:color w:val="000000"/>
          <w:sz w:val="22"/>
          <w:szCs w:val="22"/>
          <w:shd w:val="clear" w:color="auto" w:fill="FFFFFF"/>
        </w:rPr>
        <w:t xml:space="preserve"> profiling</w:t>
      </w:r>
    </w:p>
    <w:p w:rsidR="00F639F7" w:rsidP="00206382" w:rsidRDefault="00194337" w14:paraId="1BA70639" w14:textId="77777777">
      <w:pPr>
        <w:pStyle w:val="NormalWeb"/>
        <w:shd w:val="clear" w:color="auto" w:fill="FFFFFF"/>
        <w:spacing w:before="0" w:beforeAutospacing="0" w:after="225" w:afterAutospacing="0"/>
        <w:rPr>
          <w:rFonts w:ascii="Calibri" w:hAnsi="Calibri" w:cs="Calibri"/>
          <w:color w:val="000000"/>
          <w:sz w:val="22"/>
          <w:szCs w:val="22"/>
          <w:shd w:val="clear" w:color="auto" w:fill="FFFFFF"/>
        </w:rPr>
      </w:pPr>
      <w:r w:rsidRPr="00194337">
        <w:rPr>
          <w:rFonts w:ascii="Calibri" w:hAnsi="Calibri" w:cs="Calibri"/>
          <w:color w:val="000000"/>
          <w:sz w:val="22"/>
          <w:szCs w:val="22"/>
          <w:shd w:val="clear" w:color="auto" w:fill="FFFFFF"/>
        </w:rPr>
        <w:lastRenderedPageBreak/>
        <w:t xml:space="preserve">Amplicon sequencing using </w:t>
      </w:r>
      <w:r>
        <w:rPr>
          <w:rFonts w:ascii="Calibri" w:hAnsi="Calibri" w:cs="Calibri"/>
          <w:color w:val="000000"/>
          <w:sz w:val="22"/>
          <w:szCs w:val="22"/>
          <w:shd w:val="clear" w:color="auto" w:fill="FFFFFF"/>
        </w:rPr>
        <w:t xml:space="preserve">conserved regions of rRNA gene as primer annealing sites from which to amplify variable regions of rRNA genes is a cost-effective method for family or species identification. However, over-amplification during PCR with increase chimera formation, whereas under-amplification may not capture the full community diversity.  Using replicate </w:t>
      </w:r>
      <w:proofErr w:type="gramStart"/>
      <w:r>
        <w:rPr>
          <w:rFonts w:ascii="Calibri" w:hAnsi="Calibri" w:cs="Calibri"/>
          <w:color w:val="000000"/>
          <w:sz w:val="22"/>
          <w:szCs w:val="22"/>
          <w:shd w:val="clear" w:color="auto" w:fill="FFFFFF"/>
        </w:rPr>
        <w:t>PCR’s</w:t>
      </w:r>
      <w:proofErr w:type="gramEnd"/>
      <w:r>
        <w:rPr>
          <w:rFonts w:ascii="Calibri" w:hAnsi="Calibri" w:cs="Calibri"/>
          <w:color w:val="000000"/>
          <w:sz w:val="22"/>
          <w:szCs w:val="22"/>
          <w:shd w:val="clear" w:color="auto" w:fill="FFFFFF"/>
        </w:rPr>
        <w:t xml:space="preserve"> for each sample (3-4) will </w:t>
      </w:r>
      <w:r w:rsidR="008B6C7D">
        <w:rPr>
          <w:rFonts w:ascii="Calibri" w:hAnsi="Calibri" w:cs="Calibri"/>
          <w:color w:val="000000"/>
          <w:sz w:val="22"/>
          <w:szCs w:val="22"/>
          <w:shd w:val="clear" w:color="auto" w:fill="FFFFFF"/>
        </w:rPr>
        <w:t xml:space="preserve">allow variability to be monitored and optimisation to be effective.  There are reports that a single PCR per sample is sufficient for community </w:t>
      </w:r>
      <w:proofErr w:type="gramStart"/>
      <w:r w:rsidR="008B6C7D">
        <w:rPr>
          <w:rFonts w:ascii="Calibri" w:hAnsi="Calibri" w:cs="Calibri"/>
          <w:color w:val="000000"/>
          <w:sz w:val="22"/>
          <w:szCs w:val="22"/>
          <w:shd w:val="clear" w:color="auto" w:fill="FFFFFF"/>
        </w:rPr>
        <w:t>profiling</w:t>
      </w:r>
      <w:proofErr w:type="gramEnd"/>
      <w:r w:rsidR="008B6C7D">
        <w:rPr>
          <w:rFonts w:ascii="Calibri" w:hAnsi="Calibri" w:cs="Calibri"/>
          <w:color w:val="000000"/>
          <w:sz w:val="22"/>
          <w:szCs w:val="22"/>
          <w:shd w:val="clear" w:color="auto" w:fill="FFFFFF"/>
        </w:rPr>
        <w:t xml:space="preserve"> but a cautious approach should be taken when applying this</w:t>
      </w:r>
      <w:r w:rsidR="00F639F7">
        <w:rPr>
          <w:rFonts w:ascii="Calibri" w:hAnsi="Calibri" w:cs="Calibri"/>
          <w:color w:val="000000"/>
          <w:sz w:val="22"/>
          <w:szCs w:val="22"/>
          <w:shd w:val="clear" w:color="auto" w:fill="FFFFFF"/>
        </w:rPr>
        <w:t xml:space="preserve"> under different experimental conditions. </w:t>
      </w:r>
    </w:p>
    <w:p w:rsidR="00194337" w:rsidP="00206382" w:rsidRDefault="00F639F7" w14:paraId="340BA75C" w14:textId="14031C07">
      <w:pPr>
        <w:pStyle w:val="NormalWeb"/>
        <w:shd w:val="clear" w:color="auto" w:fill="FFFFFF"/>
        <w:spacing w:before="0" w:beforeAutospacing="0" w:after="225" w:afterAutospacing="0"/>
        <w:rPr>
          <w:rFonts w:ascii="Calibri" w:hAnsi="Calibri" w:cs="Calibri"/>
          <w:color w:val="000000"/>
          <w:sz w:val="22"/>
          <w:szCs w:val="22"/>
          <w:shd w:val="clear" w:color="auto" w:fill="FFFFFF"/>
        </w:rPr>
      </w:pPr>
      <w:proofErr w:type="gramStart"/>
      <w:r>
        <w:rPr>
          <w:rFonts w:ascii="Calibri" w:hAnsi="Calibri" w:cs="Calibri"/>
          <w:color w:val="000000"/>
          <w:sz w:val="22"/>
          <w:szCs w:val="22"/>
          <w:shd w:val="clear" w:color="auto" w:fill="FFFFFF"/>
        </w:rPr>
        <w:t>The majority of</w:t>
      </w:r>
      <w:proofErr w:type="gramEnd"/>
      <w:r>
        <w:rPr>
          <w:rFonts w:ascii="Calibri" w:hAnsi="Calibri" w:cs="Calibri"/>
          <w:color w:val="000000"/>
          <w:sz w:val="22"/>
          <w:szCs w:val="22"/>
          <w:shd w:val="clear" w:color="auto" w:fill="FFFFFF"/>
        </w:rPr>
        <w:t xml:space="preserve"> amplicon sequencing use primers selected during previous research, such as the Earth Microbiome Project </w:t>
      </w:r>
      <w:r w:rsidR="00194337">
        <w:rPr>
          <w:rFonts w:ascii="Calibri" w:hAnsi="Calibri" w:cs="Calibri"/>
          <w:color w:val="000000"/>
          <w:sz w:val="22"/>
          <w:szCs w:val="22"/>
          <w:shd w:val="clear" w:color="auto" w:fill="FFFFFF"/>
        </w:rPr>
        <w:t xml:space="preserve"> </w:t>
      </w:r>
      <w:hyperlink w:history="1" r:id="rId6">
        <w:r w:rsidRPr="009A7EFA">
          <w:rPr>
            <w:rStyle w:val="Hyperlink"/>
            <w:rFonts w:ascii="Calibri" w:hAnsi="Calibri" w:cs="Calibri"/>
            <w:sz w:val="22"/>
            <w:szCs w:val="22"/>
            <w:shd w:val="clear" w:color="auto" w:fill="FFFFFF"/>
          </w:rPr>
          <w:t>https://earthmicrobiome.org/</w:t>
        </w:r>
      </w:hyperlink>
      <w:r>
        <w:rPr>
          <w:rFonts w:ascii="Calibri" w:hAnsi="Calibri" w:cs="Calibri"/>
          <w:color w:val="000000"/>
          <w:sz w:val="22"/>
          <w:szCs w:val="22"/>
          <w:shd w:val="clear" w:color="auto" w:fill="FFFFFF"/>
        </w:rPr>
        <w:t xml:space="preserve"> which uses:</w:t>
      </w:r>
    </w:p>
    <w:p w:rsidRPr="002B070D" w:rsidR="00F639F7" w:rsidP="00F639F7" w:rsidRDefault="00F639F7" w14:paraId="6A53F96D" w14:textId="77777777">
      <w:pPr>
        <w:shd w:val="clear" w:color="auto" w:fill="F3F3F3"/>
        <w:spacing w:line="270" w:lineRule="atLeast"/>
        <w:ind w:left="1104"/>
        <w:rPr>
          <w:rFonts w:ascii="Tahoma" w:hAnsi="Tahoma" w:cs="Tahoma"/>
          <w:color w:val="666666"/>
          <w:sz w:val="18"/>
          <w:szCs w:val="18"/>
        </w:rPr>
      </w:pPr>
      <w:hyperlink w:history="1" r:id="rId7">
        <w:r w:rsidRPr="002B070D">
          <w:rPr>
            <w:rStyle w:val="Hyperlink"/>
            <w:rFonts w:ascii="Tahoma" w:hAnsi="Tahoma" w:cs="Tahoma"/>
            <w:color w:val="7DB337"/>
            <w:sz w:val="18"/>
            <w:szCs w:val="18"/>
          </w:rPr>
          <w:t>Illumina 16S V4 Primer Constructs (515F–806R)</w:t>
        </w:r>
      </w:hyperlink>
    </w:p>
    <w:p w:rsidRPr="002B070D" w:rsidR="00F639F7" w:rsidP="00F639F7" w:rsidRDefault="00F639F7" w14:paraId="3294BE23" w14:textId="0F4F2201">
      <w:pPr>
        <w:shd w:val="clear" w:color="auto" w:fill="F3F3F3"/>
        <w:spacing w:line="270" w:lineRule="atLeast"/>
        <w:ind w:left="1104"/>
        <w:rPr>
          <w:rFonts w:ascii="Tahoma" w:hAnsi="Tahoma" w:cs="Tahoma"/>
          <w:color w:val="666666"/>
          <w:sz w:val="18"/>
          <w:szCs w:val="18"/>
        </w:rPr>
      </w:pPr>
      <w:hyperlink w:history="1" r:id="rId8">
        <w:r w:rsidRPr="002B070D">
          <w:rPr>
            <w:rStyle w:val="Hyperlink"/>
            <w:rFonts w:ascii="Tahoma" w:hAnsi="Tahoma" w:cs="Tahoma"/>
            <w:color w:val="7DB337"/>
            <w:sz w:val="18"/>
            <w:szCs w:val="18"/>
          </w:rPr>
          <w:t>Illumina 16S V4–V5 Primer Constructs (515F–926R)</w:t>
        </w:r>
      </w:hyperlink>
    </w:p>
    <w:p w:rsidRPr="002B070D" w:rsidR="002B070D" w:rsidP="002B070D" w:rsidRDefault="002B070D" w14:paraId="35CE512A" w14:textId="77777777">
      <w:pPr>
        <w:shd w:val="clear" w:color="auto" w:fill="F3F3F3"/>
        <w:spacing w:line="270" w:lineRule="atLeast"/>
        <w:ind w:left="1104"/>
        <w:rPr>
          <w:rFonts w:ascii="Tahoma" w:hAnsi="Tahoma" w:cs="Tahoma"/>
          <w:color w:val="666666"/>
          <w:sz w:val="18"/>
          <w:szCs w:val="18"/>
        </w:rPr>
      </w:pPr>
      <w:hyperlink w:history="1" r:id="rId9">
        <w:r w:rsidRPr="002B070D">
          <w:rPr>
            <w:rStyle w:val="Hyperlink"/>
            <w:rFonts w:ascii="Tahoma" w:hAnsi="Tahoma" w:cs="Tahoma"/>
            <w:color w:val="7DB337"/>
            <w:sz w:val="18"/>
            <w:szCs w:val="18"/>
          </w:rPr>
          <w:t>Illumina ITS Primer Constructs (ITS1f-ITS2)</w:t>
        </w:r>
      </w:hyperlink>
    </w:p>
    <w:p w:rsidR="00F639F7" w:rsidP="002B070D" w:rsidRDefault="002B070D" w14:paraId="69D8394E" w14:textId="3A881CE0">
      <w:pPr>
        <w:shd w:val="clear" w:color="auto" w:fill="F3F3F3"/>
        <w:spacing w:line="270" w:lineRule="atLeast"/>
        <w:ind w:left="1104"/>
        <w:rPr>
          <w:rFonts w:ascii="Tahoma" w:hAnsi="Tahoma" w:cs="Tahoma"/>
          <w:color w:val="666666"/>
          <w:sz w:val="18"/>
          <w:szCs w:val="18"/>
        </w:rPr>
      </w:pPr>
      <w:hyperlink w:history="1" r:id="rId10">
        <w:r w:rsidRPr="002B070D">
          <w:rPr>
            <w:rStyle w:val="Hyperlink"/>
            <w:rFonts w:ascii="Tahoma" w:hAnsi="Tahoma" w:cs="Tahoma"/>
            <w:color w:val="7DB337"/>
            <w:sz w:val="18"/>
            <w:szCs w:val="18"/>
          </w:rPr>
          <w:t>Illumina 18S Primer Constructs (Euk1391f-EukBr)</w:t>
        </w:r>
      </w:hyperlink>
    </w:p>
    <w:p w:rsidR="002B070D" w:rsidP="00206382" w:rsidRDefault="002B070D" w14:paraId="413692F3" w14:textId="77777777">
      <w:pPr>
        <w:pStyle w:val="NormalWeb"/>
        <w:shd w:val="clear" w:color="auto" w:fill="FFFFFF"/>
        <w:spacing w:before="0" w:beforeAutospacing="0" w:after="225" w:afterAutospacing="0"/>
        <w:rPr>
          <w:rFonts w:ascii="Calibri" w:hAnsi="Calibri" w:cs="Calibri"/>
          <w:color w:val="000000"/>
          <w:sz w:val="22"/>
          <w:szCs w:val="22"/>
          <w:shd w:val="clear" w:color="auto" w:fill="FFFFFF"/>
        </w:rPr>
      </w:pPr>
    </w:p>
    <w:p w:rsidR="002B070D" w:rsidP="1840896C" w:rsidRDefault="002B070D" w14:paraId="30B7B4AF" w14:textId="3F412B6D">
      <w:pPr>
        <w:pStyle w:val="NormalWeb"/>
        <w:shd w:val="clear" w:color="auto" w:fill="FFFFFF" w:themeFill="background1"/>
        <w:spacing w:before="0" w:beforeAutospacing="off" w:after="225" w:afterAutospacing="off"/>
        <w:rPr>
          <w:rFonts w:ascii="Calibri" w:hAnsi="Calibri" w:cs="Calibri"/>
          <w:color w:val="000000"/>
          <w:sz w:val="22"/>
          <w:szCs w:val="22"/>
          <w:shd w:val="clear" w:color="auto" w:fill="FFFFFF"/>
        </w:rPr>
      </w:pPr>
      <w:r w:rsidR="65C90B1B">
        <w:rPr>
          <w:rFonts w:ascii="Calibri" w:hAnsi="Calibri" w:cs="Calibri"/>
          <w:color w:val="000000"/>
          <w:sz w:val="22"/>
          <w:szCs w:val="22"/>
          <w:shd w:val="clear" w:color="auto" w:fill="FFFFFF"/>
        </w:rPr>
        <w:t xml:space="preserve">The</w:t>
      </w:r>
      <w:r w:rsidR="159D02E5">
        <w:rPr>
          <w:rFonts w:ascii="Calibri" w:hAnsi="Calibri" w:cs="Calibri"/>
          <w:color w:val="000000"/>
          <w:sz w:val="22"/>
          <w:szCs w:val="22"/>
          <w:shd w:val="clear" w:color="auto" w:fill="FFFFFF"/>
        </w:rPr>
        <w:t xml:space="preserve"> protocol generates Illumina-barcoded libraries from a single PCR reaction. </w:t>
      </w:r>
    </w:p>
    <w:p w:rsidR="00A7647F" w:rsidP="05B5A78F" w:rsidRDefault="002B070D" w14:paraId="67014EAD" w14:textId="3036AE26">
      <w:pPr>
        <w:pStyle w:val="NormalWeb"/>
        <w:shd w:val="clear" w:color="auto" w:fill="FFFFFF" w:themeFill="background1"/>
        <w:spacing w:before="0" w:beforeAutospacing="off" w:after="225" w:afterAutospacing="off"/>
        <w:rPr>
          <w:rFonts w:ascii="Calibri" w:hAnsi="Calibri" w:cs="Calibri"/>
          <w:sz w:val="22"/>
          <w:szCs w:val="22"/>
        </w:rPr>
      </w:pPr>
      <w:r w:rsidR="21A9E04E">
        <w:rPr>
          <w:rFonts w:ascii="Calibri" w:hAnsi="Calibri" w:cs="Calibri"/>
          <w:color w:val="000000"/>
          <w:sz w:val="22"/>
          <w:szCs w:val="22"/>
          <w:shd w:val="clear" w:color="auto" w:fill="FFFFFF"/>
        </w:rPr>
        <w:t xml:space="preserve">Alternatively, </w:t>
      </w:r>
      <w:r w:rsidR="002B070D">
        <w:rPr>
          <w:rFonts w:ascii="Calibri" w:hAnsi="Calibri" w:cs="Calibri"/>
          <w:color w:val="000000"/>
          <w:sz w:val="22"/>
          <w:szCs w:val="22"/>
          <w:shd w:val="clear" w:color="auto" w:fill="FFFFFF"/>
        </w:rPr>
        <w:t xml:space="preserve">Illumina amplicon library preparation uses a two</w:t>
      </w:r>
      <w:r w:rsidR="3206EA96">
        <w:rPr>
          <w:rFonts w:ascii="Calibri" w:hAnsi="Calibri" w:cs="Calibri"/>
          <w:color w:val="000000"/>
          <w:sz w:val="22"/>
          <w:szCs w:val="22"/>
          <w:shd w:val="clear" w:color="auto" w:fill="FFFFFF"/>
        </w:rPr>
        <w:t xml:space="preserve">-</w:t>
      </w:r>
      <w:r w:rsidR="002B070D">
        <w:rPr>
          <w:rFonts w:ascii="Calibri" w:hAnsi="Calibri" w:cs="Calibri"/>
          <w:color w:val="000000"/>
          <w:sz w:val="22"/>
          <w:szCs w:val="22"/>
          <w:shd w:val="clear" w:color="auto" w:fill="FFFFFF"/>
        </w:rPr>
        <w:t xml:space="preserve">step PCR to generate barcoded sequencing libraries from 16S V3-V4 region </w:t>
      </w:r>
      <w:r w:rsidRPr="006178AA" w:rsidR="002B070D">
        <w:rPr>
          <w:rFonts w:ascii="Calibri" w:hAnsi="Calibri" w:cs="Calibri"/>
          <w:sz w:val="22"/>
          <w:szCs w:val="22"/>
        </w:rPr>
        <w:t>(</w:t>
      </w:r>
      <w:r w:rsidRPr="006178AA" w:rsidR="002B070D">
        <w:rPr>
          <w:rFonts w:ascii="Calibri" w:hAnsi="Calibri" w:cs="Calibri"/>
          <w:sz w:val="22"/>
          <w:szCs w:val="22"/>
        </w:rPr>
        <w:t>Klindworth</w:t>
      </w:r>
      <w:r w:rsidRPr="006178AA" w:rsidR="002B070D">
        <w:rPr>
          <w:rFonts w:ascii="Calibri" w:hAnsi="Calibri" w:cs="Calibri"/>
          <w:sz w:val="22"/>
          <w:szCs w:val="22"/>
        </w:rPr>
        <w:t xml:space="preserve"> A, </w:t>
      </w:r>
      <w:r w:rsidRPr="006178AA" w:rsidR="002B070D">
        <w:rPr>
          <w:rFonts w:ascii="Calibri" w:hAnsi="Calibri" w:cs="Calibri"/>
          <w:sz w:val="22"/>
          <w:szCs w:val="22"/>
        </w:rPr>
        <w:t>Pruesse</w:t>
      </w:r>
      <w:r w:rsidRPr="006178AA" w:rsidR="002B070D">
        <w:rPr>
          <w:rFonts w:ascii="Calibri" w:hAnsi="Calibri" w:cs="Calibri"/>
          <w:sz w:val="22"/>
          <w:szCs w:val="22"/>
        </w:rPr>
        <w:t xml:space="preserve"> E, </w:t>
      </w:r>
      <w:r w:rsidRPr="006178AA" w:rsidR="002B070D">
        <w:rPr>
          <w:rFonts w:ascii="Calibri" w:hAnsi="Calibri" w:cs="Calibri"/>
          <w:sz w:val="22"/>
          <w:szCs w:val="22"/>
        </w:rPr>
        <w:t>Schweer</w:t>
      </w:r>
      <w:r w:rsidRPr="006178AA" w:rsidR="002B070D">
        <w:rPr>
          <w:rFonts w:ascii="Calibri" w:hAnsi="Calibri" w:cs="Calibri"/>
          <w:sz w:val="22"/>
          <w:szCs w:val="22"/>
        </w:rPr>
        <w:t xml:space="preserve"> T, </w:t>
      </w:r>
      <w:proofErr w:type="spellStart"/>
      <w:r w:rsidRPr="006178AA" w:rsidR="002B070D">
        <w:rPr>
          <w:rFonts w:ascii="Calibri" w:hAnsi="Calibri" w:cs="Calibri"/>
          <w:sz w:val="22"/>
          <w:szCs w:val="22"/>
        </w:rPr>
        <w:t>Peplles</w:t>
      </w:r>
      <w:proofErr w:type="spellEnd"/>
      <w:r w:rsidRPr="006178AA" w:rsidR="002B070D">
        <w:rPr>
          <w:rFonts w:ascii="Calibri" w:hAnsi="Calibri" w:cs="Calibri"/>
          <w:sz w:val="22"/>
          <w:szCs w:val="22"/>
        </w:rPr>
        <w:t xml:space="preserve"> J, Quast C, et al. (2013)</w:t>
      </w:r>
      <w:r w:rsidR="006178AA">
        <w:rPr>
          <w:rFonts w:ascii="Calibri" w:hAnsi="Calibri" w:cs="Calibri"/>
          <w:sz w:val="22"/>
          <w:szCs w:val="22"/>
        </w:rPr>
        <w:t xml:space="preserve">. </w:t>
      </w:r>
      <w:hyperlink w:history="1" r:id="R7668c502c02843a9">
        <w:r w:rsidRPr="009A7EFA" w:rsidR="00A7647F">
          <w:rPr>
            <w:rStyle w:val="Hyperlink"/>
            <w:rFonts w:ascii="Calibri" w:hAnsi="Calibri" w:cs="Calibri"/>
            <w:sz w:val="22"/>
            <w:szCs w:val="22"/>
          </w:rPr>
          <w:t>https://support.illumina.com/documents/documentation/chemistry_documentation/16s/16s-metagenomic-library-prep-guide-15044223-b.pdf</w:t>
        </w:r>
      </w:hyperlink>
    </w:p>
    <w:p w:rsidR="002B070D" w:rsidP="1840896C" w:rsidRDefault="006178AA" w14:paraId="3B4558DD" w14:textId="7B1202D9">
      <w:pPr>
        <w:pStyle w:val="NormalWeb"/>
        <w:shd w:val="clear" w:color="auto" w:fill="FFFFFF" w:themeFill="background1"/>
        <w:spacing w:before="0" w:beforeAutospacing="off" w:after="225" w:afterAutospacing="off"/>
        <w:rPr>
          <w:rFonts w:ascii="Calibri" w:hAnsi="Calibri" w:cs="Calibri"/>
          <w:sz w:val="22"/>
          <w:szCs w:val="22"/>
        </w:rPr>
      </w:pPr>
      <w:r w:rsidRPr="05B5A78F" w:rsidR="3D77C779">
        <w:rPr>
          <w:rFonts w:ascii="Calibri" w:hAnsi="Calibri" w:cs="Calibri"/>
          <w:sz w:val="22"/>
          <w:szCs w:val="22"/>
        </w:rPr>
        <w:t xml:space="preserve">This is our standard method </w:t>
      </w:r>
      <w:r w:rsidRPr="05B5A78F" w:rsidR="0436BAA6">
        <w:rPr>
          <w:rFonts w:ascii="Calibri" w:hAnsi="Calibri" w:cs="Calibri"/>
          <w:sz w:val="22"/>
          <w:szCs w:val="22"/>
        </w:rPr>
        <w:t>which</w:t>
      </w:r>
      <w:r w:rsidRPr="05B5A78F" w:rsidR="3D77C779">
        <w:rPr>
          <w:rFonts w:ascii="Calibri" w:hAnsi="Calibri" w:cs="Calibri"/>
          <w:sz w:val="22"/>
          <w:szCs w:val="22"/>
        </w:rPr>
        <w:t xml:space="preserve"> </w:t>
      </w:r>
      <w:r w:rsidRPr="05B5A78F" w:rsidR="6AE069EB">
        <w:rPr>
          <w:rFonts w:ascii="Calibri" w:hAnsi="Calibri" w:cs="Calibri"/>
          <w:sz w:val="22"/>
          <w:szCs w:val="22"/>
        </w:rPr>
        <w:t xml:space="preserve">has </w:t>
      </w:r>
      <w:r w:rsidRPr="05B5A78F" w:rsidR="3D77C779">
        <w:rPr>
          <w:rFonts w:ascii="Calibri" w:hAnsi="Calibri" w:cs="Calibri"/>
          <w:sz w:val="22"/>
          <w:szCs w:val="22"/>
        </w:rPr>
        <w:t xml:space="preserve">been </w:t>
      </w:r>
      <w:r w:rsidRPr="05B5A78F" w:rsidR="3D77C779">
        <w:rPr>
          <w:rFonts w:ascii="Calibri" w:hAnsi="Calibri" w:cs="Calibri"/>
          <w:sz w:val="22"/>
          <w:szCs w:val="22"/>
        </w:rPr>
        <w:t>modified</w:t>
      </w:r>
      <w:r w:rsidRPr="05B5A78F" w:rsidR="3D77C779">
        <w:rPr>
          <w:rFonts w:ascii="Calibri" w:hAnsi="Calibri" w:cs="Calibri"/>
          <w:sz w:val="22"/>
          <w:szCs w:val="22"/>
        </w:rPr>
        <w:t xml:space="preserve"> to capture V1-V3, V4 alone, fungal ITS1 </w:t>
      </w:r>
      <w:proofErr w:type="gramStart"/>
      <w:r w:rsidRPr="05B5A78F" w:rsidR="3D77C779">
        <w:rPr>
          <w:rFonts w:ascii="Calibri" w:hAnsi="Calibri" w:cs="Calibri"/>
          <w:sz w:val="22"/>
          <w:szCs w:val="22"/>
        </w:rPr>
        <w:t>and  ITS</w:t>
      </w:r>
      <w:proofErr w:type="gramEnd"/>
      <w:r w:rsidRPr="05B5A78F" w:rsidR="3D77C779">
        <w:rPr>
          <w:rFonts w:ascii="Calibri" w:hAnsi="Calibri" w:cs="Calibri"/>
          <w:sz w:val="22"/>
          <w:szCs w:val="22"/>
        </w:rPr>
        <w:t xml:space="preserve">2, </w:t>
      </w:r>
      <w:proofErr w:type="spellStart"/>
      <w:r w:rsidRPr="05B5A78F" w:rsidR="3D77C779">
        <w:rPr>
          <w:rFonts w:ascii="Calibri" w:hAnsi="Calibri" w:cs="Calibri"/>
          <w:sz w:val="22"/>
          <w:szCs w:val="22"/>
        </w:rPr>
        <w:t>plantITS</w:t>
      </w:r>
      <w:proofErr w:type="spellEnd"/>
      <w:r w:rsidRPr="05B5A78F" w:rsidR="3D77C779">
        <w:rPr>
          <w:rFonts w:ascii="Calibri" w:hAnsi="Calibri" w:cs="Calibri"/>
          <w:sz w:val="22"/>
          <w:szCs w:val="22"/>
        </w:rPr>
        <w:t xml:space="preserve"> and </w:t>
      </w:r>
      <w:proofErr w:type="spellStart"/>
      <w:r w:rsidRPr="05B5A78F" w:rsidR="3D77C779">
        <w:rPr>
          <w:rFonts w:ascii="Calibri" w:hAnsi="Calibri" w:cs="Calibri"/>
          <w:sz w:val="22"/>
          <w:szCs w:val="22"/>
        </w:rPr>
        <w:t>insectITS</w:t>
      </w:r>
      <w:proofErr w:type="spellEnd"/>
      <w:r w:rsidRPr="05B5A78F" w:rsidR="3D77C779">
        <w:rPr>
          <w:rFonts w:ascii="Calibri" w:hAnsi="Calibri" w:cs="Calibri"/>
          <w:sz w:val="22"/>
          <w:szCs w:val="22"/>
        </w:rPr>
        <w:t xml:space="preserve"> </w:t>
      </w:r>
      <w:r w:rsidRPr="05B5A78F" w:rsidR="584912C7">
        <w:rPr>
          <w:rFonts w:ascii="Calibri" w:hAnsi="Calibri" w:cs="Calibri"/>
          <w:sz w:val="22"/>
          <w:szCs w:val="22"/>
        </w:rPr>
        <w:t>for</w:t>
      </w:r>
      <w:r w:rsidRPr="05B5A78F" w:rsidR="3D77C779">
        <w:rPr>
          <w:rFonts w:ascii="Calibri" w:hAnsi="Calibri" w:cs="Calibri"/>
          <w:sz w:val="22"/>
          <w:szCs w:val="22"/>
        </w:rPr>
        <w:t xml:space="preserve"> </w:t>
      </w:r>
      <w:r w:rsidRPr="05B5A78F" w:rsidR="3D77C779">
        <w:rPr>
          <w:rFonts w:ascii="Calibri" w:hAnsi="Calibri" w:cs="Calibri"/>
          <w:sz w:val="22"/>
          <w:szCs w:val="22"/>
        </w:rPr>
        <w:t>different</w:t>
      </w:r>
      <w:r w:rsidRPr="05B5A78F" w:rsidR="3D77C779">
        <w:rPr>
          <w:rFonts w:ascii="Calibri" w:hAnsi="Calibri" w:cs="Calibri"/>
          <w:sz w:val="22"/>
          <w:szCs w:val="22"/>
        </w:rPr>
        <w:t xml:space="preserve"> projects</w:t>
      </w:r>
      <w:r w:rsidRPr="05B5A78F" w:rsidR="3D77C779">
        <w:rPr>
          <w:rFonts w:ascii="Calibri" w:hAnsi="Calibri" w:cs="Calibri"/>
          <w:sz w:val="22"/>
          <w:szCs w:val="22"/>
        </w:rPr>
        <w:t xml:space="preserve">. </w:t>
      </w:r>
      <w:r w:rsidRPr="05B5A78F" w:rsidR="7C6C18EC">
        <w:rPr>
          <w:rFonts w:ascii="Calibri" w:hAnsi="Calibri" w:cs="Calibri"/>
          <w:sz w:val="22"/>
          <w:szCs w:val="22"/>
        </w:rPr>
        <w:t xml:space="preserve"> </w:t>
      </w:r>
      <w:r w:rsidRPr="05B5A78F" w:rsidR="7C6C18EC">
        <w:rPr>
          <w:rFonts w:ascii="Calibri" w:hAnsi="Calibri" w:cs="Calibri"/>
          <w:sz w:val="22"/>
          <w:szCs w:val="22"/>
        </w:rPr>
        <w:t xml:space="preserve">If you </w:t>
      </w:r>
      <w:r w:rsidRPr="05B5A78F" w:rsidR="7C6C18EC">
        <w:rPr>
          <w:rFonts w:ascii="Calibri" w:hAnsi="Calibri" w:cs="Calibri"/>
          <w:sz w:val="22"/>
          <w:szCs w:val="22"/>
        </w:rPr>
        <w:t>require</w:t>
      </w:r>
      <w:r w:rsidRPr="05B5A78F" w:rsidR="7C6C18EC">
        <w:rPr>
          <w:rFonts w:ascii="Calibri" w:hAnsi="Calibri" w:cs="Calibri"/>
          <w:sz w:val="22"/>
          <w:szCs w:val="22"/>
        </w:rPr>
        <w:t xml:space="preserve"> replicates these will </w:t>
      </w:r>
      <w:r w:rsidRPr="05B5A78F" w:rsidR="7C6C18EC">
        <w:rPr>
          <w:rFonts w:ascii="Calibri" w:hAnsi="Calibri" w:cs="Calibri"/>
          <w:sz w:val="22"/>
          <w:szCs w:val="22"/>
        </w:rPr>
        <w:t>be</w:t>
      </w:r>
      <w:r w:rsidRPr="05B5A78F" w:rsidR="7C6C18EC">
        <w:rPr>
          <w:rFonts w:ascii="Calibri" w:hAnsi="Calibri" w:cs="Calibri"/>
          <w:sz w:val="22"/>
          <w:szCs w:val="22"/>
        </w:rPr>
        <w:t xml:space="preserve"> treated a</w:t>
      </w:r>
      <w:r w:rsidRPr="05B5A78F" w:rsidR="6CBDC121">
        <w:rPr>
          <w:rFonts w:ascii="Calibri" w:hAnsi="Calibri" w:cs="Calibri"/>
          <w:sz w:val="22"/>
          <w:szCs w:val="22"/>
        </w:rPr>
        <w:t>s addit</w:t>
      </w:r>
      <w:r w:rsidRPr="05B5A78F" w:rsidR="5FE6A6D9">
        <w:rPr>
          <w:rFonts w:ascii="Calibri" w:hAnsi="Calibri" w:cs="Calibri"/>
          <w:sz w:val="22"/>
          <w:szCs w:val="22"/>
        </w:rPr>
        <w:t xml:space="preserve">ion </w:t>
      </w:r>
      <w:r w:rsidRPr="05B5A78F" w:rsidR="497A44B1">
        <w:rPr>
          <w:rFonts w:ascii="Calibri" w:hAnsi="Calibri" w:cs="Calibri"/>
          <w:sz w:val="22"/>
          <w:szCs w:val="22"/>
        </w:rPr>
        <w:t xml:space="preserve">samples. </w:t>
      </w:r>
      <w:r w:rsidRPr="05B5A78F" w:rsidR="38C34231">
        <w:rPr>
          <w:rFonts w:ascii="Calibri" w:hAnsi="Calibri" w:cs="Calibri"/>
          <w:sz w:val="22"/>
          <w:szCs w:val="22"/>
        </w:rPr>
        <w:t xml:space="preserve">The </w:t>
      </w:r>
      <w:proofErr w:type="gramStart"/>
      <w:r w:rsidRPr="05B5A78F" w:rsidR="2FDBF94E">
        <w:rPr>
          <w:rFonts w:ascii="Calibri" w:hAnsi="Calibri" w:cs="Calibri"/>
          <w:sz w:val="22"/>
          <w:szCs w:val="22"/>
        </w:rPr>
        <w:t>amount</w:t>
      </w:r>
      <w:proofErr w:type="gramEnd"/>
      <w:r w:rsidRPr="05B5A78F" w:rsidR="2FDBF94E">
        <w:rPr>
          <w:rFonts w:ascii="Calibri" w:hAnsi="Calibri" w:cs="Calibri"/>
          <w:sz w:val="22"/>
          <w:szCs w:val="22"/>
        </w:rPr>
        <w:t xml:space="preserve"> of reads </w:t>
      </w:r>
      <w:r w:rsidRPr="05B5A78F" w:rsidR="2FDBF94E">
        <w:rPr>
          <w:rFonts w:ascii="Calibri" w:hAnsi="Calibri" w:cs="Calibri"/>
          <w:sz w:val="22"/>
          <w:szCs w:val="22"/>
        </w:rPr>
        <w:t>required</w:t>
      </w:r>
      <w:r w:rsidRPr="05B5A78F" w:rsidR="2FDBF94E">
        <w:rPr>
          <w:rFonts w:ascii="Calibri" w:hAnsi="Calibri" w:cs="Calibri"/>
          <w:sz w:val="22"/>
          <w:szCs w:val="22"/>
        </w:rPr>
        <w:t xml:space="preserve"> for amplicon sequencing can be as low as 20,000 per sample, although some researchers prefer to use more</w:t>
      </w:r>
      <w:r w:rsidRPr="05B5A78F" w:rsidR="2AC6AC4F">
        <w:rPr>
          <w:rFonts w:ascii="Calibri" w:hAnsi="Calibri" w:cs="Calibri"/>
          <w:sz w:val="22"/>
          <w:szCs w:val="22"/>
        </w:rPr>
        <w:t xml:space="preserve"> (100,000)</w:t>
      </w:r>
      <w:r w:rsidRPr="05B5A78F" w:rsidR="2FDBF94E">
        <w:rPr>
          <w:rFonts w:ascii="Calibri" w:hAnsi="Calibri" w:cs="Calibri"/>
          <w:sz w:val="22"/>
          <w:szCs w:val="22"/>
        </w:rPr>
        <w:t>.</w:t>
      </w:r>
    </w:p>
    <w:p w:rsidR="59F66835" w:rsidP="05B5A78F" w:rsidRDefault="59F66835" w14:paraId="520A4CD0" w14:textId="3AB5CE1C">
      <w:pPr>
        <w:pStyle w:val="NormalWeb"/>
        <w:shd w:val="clear" w:color="auto" w:fill="FFFFFF" w:themeFill="background1"/>
        <w:spacing w:before="0" w:beforeAutospacing="off" w:after="225" w:afterAutospacing="off"/>
        <w:rPr>
          <w:rFonts w:ascii="Times New Roman" w:hAnsi="Times New Roman" w:eastAsia="Times New Roman" w:cs="Times New Roman"/>
          <w:sz w:val="24"/>
          <w:szCs w:val="24"/>
        </w:rPr>
      </w:pPr>
      <w:r w:rsidRPr="05B5A78F" w:rsidR="59F66835">
        <w:rPr>
          <w:rFonts w:ascii="Calibri" w:hAnsi="Calibri" w:eastAsia="Times New Roman" w:cs="Calibri"/>
          <w:sz w:val="22"/>
          <w:szCs w:val="22"/>
        </w:rPr>
        <w:t>A third method used to prepare amplicon libraries for sequencing involves directly amplifying the region of in</w:t>
      </w:r>
      <w:r w:rsidRPr="05B5A78F" w:rsidR="38C4A8AC">
        <w:rPr>
          <w:rFonts w:ascii="Calibri" w:hAnsi="Calibri" w:eastAsia="Times New Roman" w:cs="Calibri"/>
          <w:sz w:val="22"/>
          <w:szCs w:val="22"/>
        </w:rPr>
        <w:t>terest using primers with barcodes at the 3’ end</w:t>
      </w:r>
      <w:r w:rsidRPr="05B5A78F" w:rsidR="3BFF106B">
        <w:rPr>
          <w:rFonts w:ascii="Calibri" w:hAnsi="Calibri" w:eastAsia="Times New Roman" w:cs="Calibri"/>
          <w:sz w:val="22"/>
          <w:szCs w:val="22"/>
        </w:rPr>
        <w:t xml:space="preserve">, pooling the barcoded </w:t>
      </w:r>
      <w:r w:rsidRPr="05B5A78F" w:rsidR="4398953E">
        <w:rPr>
          <w:rFonts w:ascii="Calibri" w:hAnsi="Calibri" w:eastAsia="Times New Roman" w:cs="Calibri"/>
          <w:sz w:val="22"/>
          <w:szCs w:val="22"/>
        </w:rPr>
        <w:t>PCR products before</w:t>
      </w:r>
      <w:r w:rsidRPr="05B5A78F" w:rsidR="644622A5">
        <w:rPr>
          <w:rFonts w:ascii="Calibri" w:hAnsi="Calibri" w:eastAsia="Times New Roman" w:cs="Calibri"/>
          <w:sz w:val="22"/>
          <w:szCs w:val="22"/>
        </w:rPr>
        <w:t xml:space="preserve"> ligating Illumina adapters in the standard library preparation method. In this instance </w:t>
      </w:r>
      <w:r w:rsidRPr="05B5A78F" w:rsidR="73C9850A">
        <w:rPr>
          <w:rFonts w:ascii="Calibri" w:hAnsi="Calibri" w:eastAsia="Times New Roman" w:cs="Calibri"/>
          <w:sz w:val="22"/>
          <w:szCs w:val="22"/>
        </w:rPr>
        <w:t>some consideration and optimisation may need to be undertaken to ensure the barcoded prime</w:t>
      </w:r>
      <w:r w:rsidRPr="05B5A78F" w:rsidR="16B0464B">
        <w:rPr>
          <w:rFonts w:ascii="Calibri" w:hAnsi="Calibri" w:eastAsia="Times New Roman" w:cs="Calibri"/>
          <w:sz w:val="22"/>
          <w:szCs w:val="22"/>
        </w:rPr>
        <w:t>rs don’t introduce bias.</w:t>
      </w:r>
    </w:p>
    <w:p w:rsidR="006178AA" w:rsidP="1840896C" w:rsidRDefault="006178AA" w14:paraId="0DD282CD" w14:textId="48DB04A1">
      <w:pPr>
        <w:pStyle w:val="NormalWeb"/>
        <w:shd w:val="clear" w:color="auto" w:fill="FFFFFF" w:themeFill="background1"/>
        <w:spacing w:before="0" w:beforeAutospacing="off" w:after="225" w:afterAutospacing="off"/>
        <w:rPr>
          <w:rFonts w:ascii="Calibri" w:hAnsi="Calibri" w:cs="Calibri"/>
          <w:sz w:val="22"/>
          <w:szCs w:val="22"/>
        </w:rPr>
      </w:pPr>
      <w:r w:rsidRPr="05B5A78F" w:rsidR="3D77C779">
        <w:rPr>
          <w:rFonts w:ascii="Calibri" w:hAnsi="Calibri" w:cs="Calibri"/>
          <w:sz w:val="22"/>
          <w:szCs w:val="22"/>
        </w:rPr>
        <w:t>Nanopore technology is rapidly replacing Illumina for amplicon sequencing as the full 16s region is amplified and sequenced ~1.5kb w</w:t>
      </w:r>
      <w:r w:rsidRPr="05B5A78F" w:rsidR="13F2E050">
        <w:rPr>
          <w:rFonts w:ascii="Calibri" w:hAnsi="Calibri" w:cs="Calibri"/>
          <w:sz w:val="22"/>
          <w:szCs w:val="22"/>
        </w:rPr>
        <w:t>ill</w:t>
      </w:r>
      <w:r w:rsidRPr="05B5A78F" w:rsidR="3D77C779">
        <w:rPr>
          <w:rFonts w:ascii="Calibri" w:hAnsi="Calibri" w:cs="Calibri"/>
          <w:sz w:val="22"/>
          <w:szCs w:val="22"/>
        </w:rPr>
        <w:t xml:space="preserve"> enable more accurate species identification, phylogenetic analysis and pathovar detection. On a per sample cost basis, it is highly competitive, </w:t>
      </w:r>
      <w:r w:rsidRPr="05B5A78F" w:rsidR="6354CC00">
        <w:rPr>
          <w:rFonts w:ascii="Calibri" w:hAnsi="Calibri" w:cs="Calibri"/>
          <w:sz w:val="22"/>
          <w:szCs w:val="22"/>
        </w:rPr>
        <w:t>although</w:t>
      </w:r>
      <w:r w:rsidRPr="05B5A78F" w:rsidR="3D77C779">
        <w:rPr>
          <w:rFonts w:ascii="Calibri" w:hAnsi="Calibri" w:cs="Calibri"/>
          <w:sz w:val="22"/>
          <w:szCs w:val="22"/>
        </w:rPr>
        <w:t xml:space="preserve"> the amount of data generated is less. </w:t>
      </w:r>
    </w:p>
    <w:p w:rsidR="006178AA" w:rsidP="1840896C" w:rsidRDefault="006178AA" w14:paraId="6BC68CF1" w14:textId="50E20872">
      <w:pPr>
        <w:pStyle w:val="NormalWeb"/>
        <w:shd w:val="clear" w:color="auto" w:fill="FFFFFF" w:themeFill="background1"/>
        <w:spacing w:before="0" w:beforeAutospacing="off" w:after="225" w:afterAutospacing="off"/>
        <w:rPr>
          <w:rFonts w:ascii="Calibri" w:hAnsi="Calibri" w:cs="Calibri"/>
          <w:sz w:val="22"/>
          <w:szCs w:val="22"/>
        </w:rPr>
      </w:pPr>
      <w:r w:rsidRPr="05B5A78F" w:rsidR="3D77C779">
        <w:rPr>
          <w:rFonts w:ascii="Calibri" w:hAnsi="Calibri" w:cs="Calibri"/>
          <w:sz w:val="22"/>
          <w:szCs w:val="22"/>
        </w:rPr>
        <w:t>Whole metagenomic sequencing</w:t>
      </w:r>
      <w:r w:rsidRPr="05B5A78F" w:rsidR="62089EF7">
        <w:rPr>
          <w:rFonts w:ascii="Calibri" w:hAnsi="Calibri" w:cs="Calibri"/>
          <w:sz w:val="22"/>
          <w:szCs w:val="22"/>
        </w:rPr>
        <w:t xml:space="preserve"> (WMS)</w:t>
      </w:r>
      <w:r w:rsidRPr="05B5A78F" w:rsidR="3D77C779">
        <w:rPr>
          <w:rFonts w:ascii="Calibri" w:hAnsi="Calibri" w:cs="Calibri"/>
          <w:sz w:val="22"/>
          <w:szCs w:val="22"/>
        </w:rPr>
        <w:t xml:space="preserve"> </w:t>
      </w:r>
      <w:r w:rsidRPr="05B5A78F" w:rsidR="3D77C779">
        <w:rPr>
          <w:rFonts w:ascii="Calibri" w:hAnsi="Calibri" w:cs="Calibri"/>
          <w:sz w:val="22"/>
          <w:szCs w:val="22"/>
        </w:rPr>
        <w:t>provides</w:t>
      </w:r>
      <w:r w:rsidRPr="05B5A78F" w:rsidR="3D77C779">
        <w:rPr>
          <w:rFonts w:ascii="Calibri" w:hAnsi="Calibri" w:cs="Calibri"/>
          <w:sz w:val="22"/>
          <w:szCs w:val="22"/>
        </w:rPr>
        <w:t xml:space="preserve"> a complete picture of the </w:t>
      </w:r>
      <w:r w:rsidRPr="05B5A78F" w:rsidR="62089EF7">
        <w:rPr>
          <w:rFonts w:ascii="Calibri" w:hAnsi="Calibri" w:cs="Calibri"/>
          <w:sz w:val="22"/>
          <w:szCs w:val="22"/>
        </w:rPr>
        <w:t xml:space="preserve">entire metagenome and can be used for species identification, pathway analysis and antimicrobial resistance analysis. The high number of reads </w:t>
      </w:r>
      <w:r w:rsidRPr="05B5A78F" w:rsidR="62089EF7">
        <w:rPr>
          <w:rFonts w:ascii="Calibri" w:hAnsi="Calibri" w:cs="Calibri"/>
          <w:sz w:val="22"/>
          <w:szCs w:val="22"/>
        </w:rPr>
        <w:t>required</w:t>
      </w:r>
      <w:r w:rsidRPr="05B5A78F" w:rsidR="62089EF7">
        <w:rPr>
          <w:rFonts w:ascii="Calibri" w:hAnsi="Calibri" w:cs="Calibri"/>
          <w:sz w:val="22"/>
          <w:szCs w:val="22"/>
        </w:rPr>
        <w:t xml:space="preserve"> for this will depend on the complexity of the community and the type of analysis </w:t>
      </w:r>
      <w:r w:rsidRPr="05B5A78F" w:rsidR="62089EF7">
        <w:rPr>
          <w:rFonts w:ascii="Calibri" w:hAnsi="Calibri" w:cs="Calibri"/>
          <w:sz w:val="22"/>
          <w:szCs w:val="22"/>
        </w:rPr>
        <w:t>required</w:t>
      </w:r>
      <w:r w:rsidRPr="05B5A78F" w:rsidR="4ABBF15E">
        <w:rPr>
          <w:rFonts w:ascii="Calibri" w:hAnsi="Calibri" w:cs="Calibri"/>
          <w:sz w:val="22"/>
          <w:szCs w:val="22"/>
        </w:rPr>
        <w:t>; for low coverage</w:t>
      </w:r>
      <w:r w:rsidRPr="05B5A78F" w:rsidR="4ABBF15E">
        <w:rPr>
          <w:rFonts w:ascii="Calibri" w:hAnsi="Calibri" w:eastAsia="Calibri" w:cs="Calibri"/>
          <w:sz w:val="22"/>
          <w:szCs w:val="22"/>
        </w:rPr>
        <w:t xml:space="preserve"> </w:t>
      </w:r>
      <w:r w:rsidRPr="05B5A78F" w:rsidR="598A0BDB">
        <w:rPr>
          <w:rFonts w:ascii="Calibri" w:hAnsi="Calibri" w:eastAsia="Calibri" w:cs="Calibri"/>
          <w:b w:val="0"/>
          <w:bCs w:val="0"/>
          <w:i w:val="0"/>
          <w:iCs w:val="0"/>
          <w:caps w:val="0"/>
          <w:smallCaps w:val="0"/>
          <w:noProof w:val="0"/>
          <w:color w:val="333D47"/>
          <w:sz w:val="22"/>
          <w:szCs w:val="22"/>
          <w:lang w:val="en-GB"/>
        </w:rPr>
        <w:t>faecal</w:t>
      </w:r>
      <w:r w:rsidRPr="05B5A78F" w:rsidR="4ABBF15E">
        <w:rPr>
          <w:rFonts w:ascii="Calibri" w:hAnsi="Calibri" w:eastAsia="Calibri" w:cs="Calibri"/>
          <w:b w:val="0"/>
          <w:bCs w:val="0"/>
          <w:i w:val="0"/>
          <w:iCs w:val="0"/>
          <w:caps w:val="0"/>
          <w:smallCaps w:val="0"/>
          <w:noProof w:val="0"/>
          <w:color w:val="333D47"/>
          <w:sz w:val="22"/>
          <w:szCs w:val="22"/>
          <w:lang w:val="en-GB"/>
        </w:rPr>
        <w:t xml:space="preserve"> samples </w:t>
      </w:r>
      <w:r w:rsidRPr="05B5A78F" w:rsidR="74D46607">
        <w:rPr>
          <w:rFonts w:ascii="Calibri" w:hAnsi="Calibri" w:eastAsia="Calibri" w:cs="Calibri"/>
          <w:b w:val="0"/>
          <w:bCs w:val="0"/>
          <w:i w:val="0"/>
          <w:iCs w:val="0"/>
          <w:caps w:val="0"/>
          <w:smallCaps w:val="0"/>
          <w:noProof w:val="0"/>
          <w:color w:val="333D47"/>
          <w:sz w:val="22"/>
          <w:szCs w:val="22"/>
          <w:lang w:val="en-GB"/>
        </w:rPr>
        <w:t xml:space="preserve">1Gb data / 3M 150 PE reads may </w:t>
      </w:r>
      <w:r w:rsidRPr="05B5A78F" w:rsidR="74D46607">
        <w:rPr>
          <w:rFonts w:ascii="Calibri" w:hAnsi="Calibri" w:eastAsia="Calibri" w:cs="Calibri"/>
          <w:b w:val="0"/>
          <w:bCs w:val="0"/>
          <w:i w:val="0"/>
          <w:iCs w:val="0"/>
          <w:caps w:val="0"/>
          <w:smallCaps w:val="0"/>
          <w:noProof w:val="0"/>
          <w:color w:val="333D47"/>
          <w:sz w:val="22"/>
          <w:szCs w:val="22"/>
          <w:lang w:val="en-GB"/>
        </w:rPr>
        <w:t>provide</w:t>
      </w:r>
      <w:r w:rsidRPr="05B5A78F" w:rsidR="74D46607">
        <w:rPr>
          <w:rFonts w:ascii="Calibri" w:hAnsi="Calibri" w:eastAsia="Calibri" w:cs="Calibri"/>
          <w:b w:val="0"/>
          <w:bCs w:val="0"/>
          <w:i w:val="0"/>
          <w:iCs w:val="0"/>
          <w:caps w:val="0"/>
          <w:smallCaps w:val="0"/>
          <w:noProof w:val="0"/>
          <w:color w:val="333D47"/>
          <w:sz w:val="22"/>
          <w:szCs w:val="22"/>
          <w:lang w:val="en-GB"/>
        </w:rPr>
        <w:t xml:space="preserve"> an </w:t>
      </w:r>
      <w:r w:rsidRPr="05B5A78F" w:rsidR="39DDB25A">
        <w:rPr>
          <w:rFonts w:ascii="Calibri" w:hAnsi="Calibri" w:eastAsia="Calibri" w:cs="Calibri"/>
          <w:b w:val="0"/>
          <w:bCs w:val="0"/>
          <w:i w:val="0"/>
          <w:iCs w:val="0"/>
          <w:caps w:val="0"/>
          <w:smallCaps w:val="0"/>
          <w:noProof w:val="0"/>
          <w:color w:val="333D47"/>
          <w:sz w:val="22"/>
          <w:szCs w:val="22"/>
          <w:lang w:val="en-GB"/>
        </w:rPr>
        <w:t>overview but</w:t>
      </w:r>
      <w:r w:rsidRPr="05B5A78F" w:rsidR="718D58DF">
        <w:rPr>
          <w:rFonts w:ascii="Calibri" w:hAnsi="Calibri" w:cs="Calibri"/>
          <w:sz w:val="22"/>
          <w:szCs w:val="22"/>
        </w:rPr>
        <w:t xml:space="preserve"> sequencing of</w:t>
      </w:r>
      <w:r w:rsidRPr="05B5A78F" w:rsidR="62089EF7">
        <w:rPr>
          <w:rFonts w:ascii="Calibri" w:hAnsi="Calibri" w:cs="Calibri"/>
          <w:sz w:val="22"/>
          <w:szCs w:val="22"/>
        </w:rPr>
        <w:t xml:space="preserve"> 60 M reads/sample is not unusual for </w:t>
      </w:r>
      <w:r w:rsidRPr="05B5A78F" w:rsidR="7E0A965C">
        <w:rPr>
          <w:rFonts w:ascii="Calibri" w:hAnsi="Calibri" w:cs="Calibri"/>
          <w:sz w:val="22"/>
          <w:szCs w:val="22"/>
        </w:rPr>
        <w:t xml:space="preserve">deeper </w:t>
      </w:r>
      <w:r w:rsidRPr="05B5A78F" w:rsidR="62089EF7">
        <w:rPr>
          <w:rFonts w:ascii="Calibri" w:hAnsi="Calibri" w:cs="Calibri"/>
          <w:sz w:val="22"/>
          <w:szCs w:val="22"/>
        </w:rPr>
        <w:t xml:space="preserve">analysis. Nanopore sequencing may prove </w:t>
      </w:r>
      <w:r w:rsidRPr="05B5A78F" w:rsidR="64778BD4">
        <w:rPr>
          <w:rFonts w:ascii="Calibri" w:hAnsi="Calibri" w:cs="Calibri"/>
          <w:sz w:val="22"/>
          <w:szCs w:val="22"/>
        </w:rPr>
        <w:t>advantageous</w:t>
      </w:r>
      <w:r w:rsidRPr="05B5A78F" w:rsidR="62089EF7">
        <w:rPr>
          <w:rFonts w:ascii="Calibri" w:hAnsi="Calibri" w:cs="Calibri"/>
          <w:sz w:val="22"/>
          <w:szCs w:val="22"/>
        </w:rPr>
        <w:t xml:space="preserve"> in this field with many single reads </w:t>
      </w:r>
      <w:r w:rsidRPr="05B5A78F" w:rsidR="4065BE71">
        <w:rPr>
          <w:rFonts w:ascii="Calibri" w:hAnsi="Calibri" w:cs="Calibri"/>
          <w:sz w:val="22"/>
          <w:szCs w:val="22"/>
        </w:rPr>
        <w:t>of 5kb-</w:t>
      </w:r>
      <w:r w:rsidRPr="05B5A78F" w:rsidR="62089EF7">
        <w:rPr>
          <w:rFonts w:ascii="Calibri" w:hAnsi="Calibri" w:cs="Calibri"/>
          <w:sz w:val="22"/>
          <w:szCs w:val="22"/>
        </w:rPr>
        <w:t xml:space="preserve">15kb or more, the amount of coverage </w:t>
      </w:r>
      <w:r w:rsidRPr="05B5A78F" w:rsidR="62089EF7">
        <w:rPr>
          <w:rFonts w:ascii="Calibri" w:hAnsi="Calibri" w:cs="Calibri"/>
          <w:sz w:val="22"/>
          <w:szCs w:val="22"/>
        </w:rPr>
        <w:t>required</w:t>
      </w:r>
      <w:r w:rsidRPr="05B5A78F" w:rsidR="62089EF7">
        <w:rPr>
          <w:rFonts w:ascii="Calibri" w:hAnsi="Calibri" w:cs="Calibri"/>
          <w:sz w:val="22"/>
          <w:szCs w:val="22"/>
        </w:rPr>
        <w:t xml:space="preserve"> for assembly and analysis will </w:t>
      </w:r>
      <w:r w:rsidRPr="05B5A78F" w:rsidR="3598D655">
        <w:rPr>
          <w:rFonts w:ascii="Calibri" w:hAnsi="Calibri" w:cs="Calibri"/>
          <w:sz w:val="22"/>
          <w:szCs w:val="22"/>
        </w:rPr>
        <w:t>be less</w:t>
      </w:r>
      <w:r w:rsidRPr="05B5A78F" w:rsidR="62089EF7">
        <w:rPr>
          <w:rFonts w:ascii="Calibri" w:hAnsi="Calibri" w:cs="Calibri"/>
          <w:sz w:val="22"/>
          <w:szCs w:val="22"/>
        </w:rPr>
        <w:t xml:space="preserve">. </w:t>
      </w:r>
      <w:r w:rsidRPr="05B5A78F" w:rsidR="62089EF7">
        <w:rPr>
          <w:rFonts w:ascii="Calibri" w:hAnsi="Calibri" w:cs="Calibri"/>
          <w:sz w:val="22"/>
          <w:szCs w:val="22"/>
        </w:rPr>
        <w:t xml:space="preserve"> </w:t>
      </w:r>
      <w:r w:rsidRPr="05B5A78F" w:rsidR="62089EF7">
        <w:rPr>
          <w:rFonts w:ascii="Calibri" w:hAnsi="Calibri" w:cs="Calibri"/>
          <w:sz w:val="22"/>
          <w:szCs w:val="22"/>
        </w:rPr>
        <w:t>The disadvantage of WMG using Nanopore is the</w:t>
      </w:r>
      <w:r w:rsidRPr="05B5A78F" w:rsidR="38DC7E74">
        <w:rPr>
          <w:rFonts w:ascii="Calibri" w:hAnsi="Calibri" w:cs="Calibri"/>
          <w:sz w:val="22"/>
          <w:szCs w:val="22"/>
        </w:rPr>
        <w:t xml:space="preserve"> </w:t>
      </w:r>
      <w:r w:rsidRPr="05B5A78F" w:rsidR="64CA21AF">
        <w:rPr>
          <w:rFonts w:ascii="Calibri" w:hAnsi="Calibri" w:cs="Calibri"/>
          <w:sz w:val="22"/>
          <w:szCs w:val="22"/>
        </w:rPr>
        <w:t>requirement for much higher</w:t>
      </w:r>
      <w:r w:rsidRPr="05B5A78F" w:rsidR="62089EF7">
        <w:rPr>
          <w:rFonts w:ascii="Calibri" w:hAnsi="Calibri" w:cs="Calibri"/>
          <w:sz w:val="22"/>
          <w:szCs w:val="22"/>
        </w:rPr>
        <w:t xml:space="preserve"> quality and quantity of input DNA</w:t>
      </w:r>
      <w:r w:rsidRPr="05B5A78F" w:rsidR="53CEF1A4">
        <w:rPr>
          <w:rFonts w:ascii="Calibri" w:hAnsi="Calibri" w:cs="Calibri"/>
          <w:sz w:val="22"/>
          <w:szCs w:val="22"/>
        </w:rPr>
        <w:t xml:space="preserve"> (1-5 ug)</w:t>
      </w:r>
      <w:r w:rsidRPr="05B5A78F" w:rsidR="1E052F24">
        <w:rPr>
          <w:rFonts w:ascii="Calibri" w:hAnsi="Calibri" w:cs="Calibri"/>
          <w:sz w:val="22"/>
          <w:szCs w:val="22"/>
        </w:rPr>
        <w:t>.</w:t>
      </w:r>
      <w:r w:rsidRPr="05B5A78F" w:rsidR="62089EF7">
        <w:rPr>
          <w:rFonts w:ascii="Calibri" w:hAnsi="Calibri" w:cs="Calibri"/>
          <w:sz w:val="22"/>
          <w:szCs w:val="22"/>
        </w:rPr>
        <w:t xml:space="preserve"> </w:t>
      </w:r>
    </w:p>
    <w:p w:rsidR="001C5A97" w:rsidP="00206382" w:rsidRDefault="001C5A97" w14:paraId="06072F64" w14:textId="5603F34A">
      <w:pPr>
        <w:pStyle w:val="NormalWeb"/>
        <w:shd w:val="clear" w:color="auto" w:fill="FFFFFF"/>
        <w:spacing w:before="0" w:beforeAutospacing="0" w:after="225" w:afterAutospacing="0"/>
        <w:rPr>
          <w:rFonts w:ascii="Calibri" w:hAnsi="Calibri" w:cs="Calibri"/>
          <w:sz w:val="22"/>
          <w:szCs w:val="22"/>
        </w:rPr>
      </w:pPr>
      <w:r>
        <w:rPr>
          <w:rFonts w:ascii="Calibri" w:hAnsi="Calibri" w:cs="Calibri"/>
          <w:sz w:val="22"/>
          <w:szCs w:val="22"/>
        </w:rPr>
        <w:t>General c</w:t>
      </w:r>
      <w:r w:rsidR="00A7647F">
        <w:rPr>
          <w:rFonts w:ascii="Calibri" w:hAnsi="Calibri" w:cs="Calibri"/>
          <w:sz w:val="22"/>
          <w:szCs w:val="22"/>
        </w:rPr>
        <w:t xml:space="preserve">osts for Illumina and Nanopore sequencing can be found at </w:t>
      </w:r>
      <w:hyperlink w:history="1" r:id="rId12">
        <w:r w:rsidRPr="009A7EFA" w:rsidR="00A7647F">
          <w:rPr>
            <w:rStyle w:val="Hyperlink"/>
            <w:rFonts w:ascii="Calibri" w:hAnsi="Calibri" w:cs="Calibri"/>
            <w:sz w:val="22"/>
            <w:szCs w:val="22"/>
          </w:rPr>
          <w:t>http://biosciences.exeter.ac.uk/sequencing/pricing/internal/</w:t>
        </w:r>
      </w:hyperlink>
    </w:p>
    <w:p w:rsidRPr="00954466" w:rsidR="00206382" w:rsidP="1840896C" w:rsidRDefault="00A7647F" w14:paraId="18B8D8CB" w14:textId="498ED654">
      <w:pPr>
        <w:pStyle w:val="NormalWeb"/>
        <w:shd w:val="clear" w:color="auto" w:fill="FFFFFF" w:themeFill="background1"/>
        <w:spacing w:before="0" w:beforeAutospacing="off" w:after="225" w:afterAutospacing="off"/>
        <w:rPr>
          <w:rFonts w:ascii="Calibri" w:hAnsi="Calibri" w:cs="Calibri"/>
          <w:sz w:val="22"/>
          <w:szCs w:val="22"/>
        </w:rPr>
      </w:pPr>
      <w:r w:rsidRPr="05B5A78F" w:rsidR="47A10366">
        <w:rPr>
          <w:rFonts w:ascii="Calibri" w:hAnsi="Calibri" w:cs="Calibri"/>
          <w:sz w:val="22"/>
          <w:szCs w:val="22"/>
        </w:rPr>
        <w:t xml:space="preserve">Total costs are a combination of library preparation and sequencing so once you have a better idea of exactly what options you </w:t>
      </w:r>
      <w:r w:rsidRPr="05B5A78F" w:rsidR="5594EA51">
        <w:rPr>
          <w:rFonts w:ascii="Calibri" w:hAnsi="Calibri" w:cs="Calibri"/>
          <w:sz w:val="22"/>
          <w:szCs w:val="22"/>
        </w:rPr>
        <w:t>prefer,</w:t>
      </w:r>
      <w:r w:rsidRPr="05B5A78F" w:rsidR="47A10366">
        <w:rPr>
          <w:rFonts w:ascii="Calibri" w:hAnsi="Calibri" w:cs="Calibri"/>
          <w:sz w:val="22"/>
          <w:szCs w:val="22"/>
        </w:rPr>
        <w:t xml:space="preserve"> </w:t>
      </w:r>
      <w:r w:rsidRPr="05B5A78F" w:rsidR="7E908B37">
        <w:rPr>
          <w:rFonts w:ascii="Calibri" w:hAnsi="Calibri" w:cs="Calibri"/>
          <w:sz w:val="22"/>
          <w:szCs w:val="22"/>
        </w:rPr>
        <w:t>we</w:t>
      </w:r>
      <w:r w:rsidRPr="05B5A78F" w:rsidR="47A10366">
        <w:rPr>
          <w:rFonts w:ascii="Calibri" w:hAnsi="Calibri" w:cs="Calibri"/>
          <w:sz w:val="22"/>
          <w:szCs w:val="22"/>
        </w:rPr>
        <w:t xml:space="preserve"> can draw up some </w:t>
      </w:r>
      <w:r w:rsidRPr="05B5A78F" w:rsidR="0A352DDD">
        <w:rPr>
          <w:rFonts w:ascii="Calibri" w:hAnsi="Calibri" w:cs="Calibri"/>
          <w:sz w:val="22"/>
          <w:szCs w:val="22"/>
        </w:rPr>
        <w:t>costs</w:t>
      </w:r>
      <w:r w:rsidRPr="05B5A78F" w:rsidR="47A10366">
        <w:rPr>
          <w:rFonts w:ascii="Calibri" w:hAnsi="Calibri" w:cs="Calibri"/>
          <w:sz w:val="22"/>
          <w:szCs w:val="22"/>
        </w:rPr>
        <w:t xml:space="preserve"> for you. </w:t>
      </w:r>
      <w:r w:rsidRPr="05B5A78F" w:rsidR="7E908B37">
        <w:rPr>
          <w:rFonts w:ascii="Calibri" w:hAnsi="Calibri" w:cs="Calibri"/>
          <w:sz w:val="22"/>
          <w:szCs w:val="22"/>
        </w:rPr>
        <w:t>We</w:t>
      </w:r>
      <w:r w:rsidRPr="05B5A78F" w:rsidR="47A10366">
        <w:rPr>
          <w:rFonts w:ascii="Calibri" w:hAnsi="Calibri" w:cs="Calibri"/>
          <w:sz w:val="22"/>
          <w:szCs w:val="22"/>
        </w:rPr>
        <w:t xml:space="preserve"> would want to know which library preparation you prefer and how much sequencing (</w:t>
      </w:r>
      <w:r w:rsidRPr="05B5A78F" w:rsidR="5BE9928F">
        <w:rPr>
          <w:rFonts w:ascii="Calibri" w:hAnsi="Calibri" w:cs="Calibri"/>
          <w:sz w:val="22"/>
          <w:szCs w:val="22"/>
        </w:rPr>
        <w:t xml:space="preserve">Gb data or </w:t>
      </w:r>
      <w:r w:rsidRPr="05B5A78F" w:rsidR="47A10366">
        <w:rPr>
          <w:rFonts w:ascii="Calibri" w:hAnsi="Calibri" w:cs="Calibri"/>
          <w:sz w:val="22"/>
          <w:szCs w:val="22"/>
        </w:rPr>
        <w:t>million paired end reads)</w:t>
      </w:r>
      <w:r w:rsidRPr="05B5A78F" w:rsidR="7E908B37">
        <w:rPr>
          <w:rFonts w:ascii="Calibri" w:hAnsi="Calibri" w:cs="Calibri"/>
          <w:sz w:val="22"/>
          <w:szCs w:val="22"/>
        </w:rPr>
        <w:t xml:space="preserve"> is required.</w:t>
      </w:r>
    </w:p>
    <w:sectPr w:rsidR="00CF1872">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238B4"/>
    <w:multiLevelType w:val="multilevel"/>
    <w:tmpl w:val="3990A8E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EDD78EE"/>
    <w:multiLevelType w:val="multilevel"/>
    <w:tmpl w:val="31C00F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324657DE"/>
    <w:multiLevelType w:val="hybridMultilevel"/>
    <w:tmpl w:val="3C948430"/>
    <w:lvl w:ilvl="0" w:tplc="C3D8D30E">
      <w:start w:val="1"/>
      <w:numFmt w:val="decimal"/>
      <w:lvlText w:val="%1."/>
      <w:lvlJc w:val="left"/>
      <w:pPr>
        <w:ind w:left="786"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3235DDC"/>
    <w:multiLevelType w:val="multilevel"/>
    <w:tmpl w:val="395269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787165B6"/>
    <w:multiLevelType w:val="multilevel"/>
    <w:tmpl w:val="AB9402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2"/>
  </w:num>
  <w:num w:numId="2">
    <w:abstractNumId w:val="0"/>
  </w:num>
  <w:num w:numId="3">
    <w:abstractNumId w:val="1"/>
  </w:num>
  <w:num w:numId="4">
    <w:abstractNumId w:val="3"/>
  </w:num>
  <w:num w:numId="5">
    <w:abstractNumId w:val="4"/>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382"/>
    <w:rsid w:val="00120354"/>
    <w:rsid w:val="00124C6A"/>
    <w:rsid w:val="00194337"/>
    <w:rsid w:val="001C5A97"/>
    <w:rsid w:val="001F77D8"/>
    <w:rsid w:val="00206382"/>
    <w:rsid w:val="00294F52"/>
    <w:rsid w:val="002B070D"/>
    <w:rsid w:val="003D6A29"/>
    <w:rsid w:val="00602ACB"/>
    <w:rsid w:val="006178AA"/>
    <w:rsid w:val="00750E31"/>
    <w:rsid w:val="007E4609"/>
    <w:rsid w:val="008B6C7D"/>
    <w:rsid w:val="008F03A3"/>
    <w:rsid w:val="00954466"/>
    <w:rsid w:val="009E6AFC"/>
    <w:rsid w:val="00A7647F"/>
    <w:rsid w:val="00C93E62"/>
    <w:rsid w:val="00CF1872"/>
    <w:rsid w:val="00EA0D09"/>
    <w:rsid w:val="00F34CD9"/>
    <w:rsid w:val="00F639F7"/>
    <w:rsid w:val="02D8A162"/>
    <w:rsid w:val="0436BAA6"/>
    <w:rsid w:val="04BEC56F"/>
    <w:rsid w:val="05375CD8"/>
    <w:rsid w:val="0567E4F9"/>
    <w:rsid w:val="05B5A78F"/>
    <w:rsid w:val="05FCECAE"/>
    <w:rsid w:val="07818DEB"/>
    <w:rsid w:val="091D5E4C"/>
    <w:rsid w:val="0A352DDD"/>
    <w:rsid w:val="0B21FF17"/>
    <w:rsid w:val="0DD1C275"/>
    <w:rsid w:val="0F1A7B8B"/>
    <w:rsid w:val="13F2E050"/>
    <w:rsid w:val="159D02E5"/>
    <w:rsid w:val="16B0464B"/>
    <w:rsid w:val="1840896C"/>
    <w:rsid w:val="1A2519FA"/>
    <w:rsid w:val="1AEF75D8"/>
    <w:rsid w:val="1B62D027"/>
    <w:rsid w:val="1BE44289"/>
    <w:rsid w:val="1CCC8899"/>
    <w:rsid w:val="1DCEBDE2"/>
    <w:rsid w:val="1E052F24"/>
    <w:rsid w:val="2079E12A"/>
    <w:rsid w:val="21A9E04E"/>
    <w:rsid w:val="235229F9"/>
    <w:rsid w:val="23862EC9"/>
    <w:rsid w:val="24D77FFF"/>
    <w:rsid w:val="25B1CFD5"/>
    <w:rsid w:val="27368F90"/>
    <w:rsid w:val="276C84AD"/>
    <w:rsid w:val="27D6183C"/>
    <w:rsid w:val="2898817B"/>
    <w:rsid w:val="2AC6AC4F"/>
    <w:rsid w:val="2CFEE87A"/>
    <w:rsid w:val="2E5D532D"/>
    <w:rsid w:val="2EFF17DF"/>
    <w:rsid w:val="2F47674A"/>
    <w:rsid w:val="2F4B952F"/>
    <w:rsid w:val="2F889F93"/>
    <w:rsid w:val="2FDBF94E"/>
    <w:rsid w:val="307704B6"/>
    <w:rsid w:val="3176AD30"/>
    <w:rsid w:val="3206EA96"/>
    <w:rsid w:val="34837E92"/>
    <w:rsid w:val="3587167E"/>
    <w:rsid w:val="3598D655"/>
    <w:rsid w:val="360DE14B"/>
    <w:rsid w:val="365EB21F"/>
    <w:rsid w:val="38BEB740"/>
    <w:rsid w:val="38C34231"/>
    <w:rsid w:val="38C4A8AC"/>
    <w:rsid w:val="38DC7E74"/>
    <w:rsid w:val="39DDB25A"/>
    <w:rsid w:val="3A4251C6"/>
    <w:rsid w:val="3B9B2251"/>
    <w:rsid w:val="3BDE2227"/>
    <w:rsid w:val="3BFF106B"/>
    <w:rsid w:val="3CB0CF37"/>
    <w:rsid w:val="3D77C779"/>
    <w:rsid w:val="3DBE18E2"/>
    <w:rsid w:val="3E85EB56"/>
    <w:rsid w:val="3EB9AB8B"/>
    <w:rsid w:val="4065BE71"/>
    <w:rsid w:val="40AF9A11"/>
    <w:rsid w:val="410576E0"/>
    <w:rsid w:val="41F94A75"/>
    <w:rsid w:val="426DB8E2"/>
    <w:rsid w:val="428C1894"/>
    <w:rsid w:val="4398953E"/>
    <w:rsid w:val="457F425E"/>
    <w:rsid w:val="464D0D72"/>
    <w:rsid w:val="4740F82F"/>
    <w:rsid w:val="47A10366"/>
    <w:rsid w:val="48F4F3D3"/>
    <w:rsid w:val="48F76068"/>
    <w:rsid w:val="494572D2"/>
    <w:rsid w:val="497A44B1"/>
    <w:rsid w:val="4ABBF15E"/>
    <w:rsid w:val="4B331026"/>
    <w:rsid w:val="4CCEE087"/>
    <w:rsid w:val="4DCAD18B"/>
    <w:rsid w:val="50F02BA7"/>
    <w:rsid w:val="51420C67"/>
    <w:rsid w:val="529687F9"/>
    <w:rsid w:val="5324F9AE"/>
    <w:rsid w:val="53943727"/>
    <w:rsid w:val="53CEF1A4"/>
    <w:rsid w:val="5594EA51"/>
    <w:rsid w:val="584912C7"/>
    <w:rsid w:val="598A0BDB"/>
    <w:rsid w:val="59F66835"/>
    <w:rsid w:val="5A6E7121"/>
    <w:rsid w:val="5B2A26F6"/>
    <w:rsid w:val="5BE9928F"/>
    <w:rsid w:val="5F5B6F48"/>
    <w:rsid w:val="5FE6A6D9"/>
    <w:rsid w:val="61D479A5"/>
    <w:rsid w:val="62089EF7"/>
    <w:rsid w:val="620C590A"/>
    <w:rsid w:val="622B13FA"/>
    <w:rsid w:val="624451B6"/>
    <w:rsid w:val="62A6D7DC"/>
    <w:rsid w:val="63430AFE"/>
    <w:rsid w:val="6354CC00"/>
    <w:rsid w:val="644622A5"/>
    <w:rsid w:val="64778BD4"/>
    <w:rsid w:val="64BA7095"/>
    <w:rsid w:val="64CA21AF"/>
    <w:rsid w:val="64DEDB5F"/>
    <w:rsid w:val="65103997"/>
    <w:rsid w:val="65C90B1B"/>
    <w:rsid w:val="65FB12E5"/>
    <w:rsid w:val="67362CEA"/>
    <w:rsid w:val="68893C1E"/>
    <w:rsid w:val="69B24C82"/>
    <w:rsid w:val="6AE069EB"/>
    <w:rsid w:val="6B9A12F3"/>
    <w:rsid w:val="6CBDC121"/>
    <w:rsid w:val="6DD9BEC0"/>
    <w:rsid w:val="6DE1BE1E"/>
    <w:rsid w:val="6ED734A6"/>
    <w:rsid w:val="705A32AD"/>
    <w:rsid w:val="70730507"/>
    <w:rsid w:val="7115C455"/>
    <w:rsid w:val="718D58DF"/>
    <w:rsid w:val="71E7DAD4"/>
    <w:rsid w:val="720ED568"/>
    <w:rsid w:val="73AAA5C9"/>
    <w:rsid w:val="73C9850A"/>
    <w:rsid w:val="7431FE4E"/>
    <w:rsid w:val="74D46607"/>
    <w:rsid w:val="7C6C18EC"/>
    <w:rsid w:val="7CE10414"/>
    <w:rsid w:val="7E0A965C"/>
    <w:rsid w:val="7E7CD475"/>
    <w:rsid w:val="7E908B37"/>
    <w:rsid w:val="7F0AF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2323E"/>
  <w15:chartTrackingRefBased/>
  <w15:docId w15:val="{9D386388-A950-446B-BE0F-184CCF3D5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line="360" w:lineRule="auto"/>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unhideWhenUsed/>
    <w:rsid w:val="00206382"/>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8F03A3"/>
  </w:style>
  <w:style w:type="character" w:styleId="eop" w:customStyle="1">
    <w:name w:val="eop"/>
    <w:basedOn w:val="DefaultParagraphFont"/>
    <w:rsid w:val="008F03A3"/>
  </w:style>
  <w:style w:type="character" w:styleId="Hyperlink">
    <w:name w:val="Hyperlink"/>
    <w:basedOn w:val="DefaultParagraphFont"/>
    <w:uiPriority w:val="99"/>
    <w:unhideWhenUsed/>
    <w:rsid w:val="00C93E62"/>
    <w:rPr>
      <w:color w:val="0563C1" w:themeColor="hyperlink"/>
      <w:u w:val="single"/>
    </w:rPr>
  </w:style>
  <w:style w:type="character" w:styleId="UnresolvedMention">
    <w:name w:val="Unresolved Mention"/>
    <w:basedOn w:val="DefaultParagraphFont"/>
    <w:uiPriority w:val="99"/>
    <w:semiHidden/>
    <w:unhideWhenUsed/>
    <w:rsid w:val="00C93E62"/>
    <w:rPr>
      <w:color w:val="605E5C"/>
      <w:shd w:val="clear" w:color="auto" w:fill="E1DFDD"/>
    </w:rPr>
  </w:style>
  <w:style xmlns:w14="http://schemas.microsoft.com/office/word/2010/wordml" xmlns:mc="http://schemas.openxmlformats.org/markup-compatibility/2006" xmlns:w="http://schemas.openxmlformats.org/wordprocessingml/2006/main" w:type="paragraph" w:styleId="NoSpacing" mc:Ignorable="w14">
    <w:name xmlns:w="http://schemas.openxmlformats.org/wordprocessingml/2006/main" w:val="No Spacing"/>
    <w:uiPriority xmlns:w="http://schemas.openxmlformats.org/wordprocessingml/2006/main" w:val="1"/>
    <w:qFormat xmlns:w="http://schemas.openxmlformats.org/wordprocessingml/2006/main"/>
    <w:pPr xmlns:w="http://schemas.openxmlformats.org/wordprocessingml/2006/main">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56516">
      <w:bodyDiv w:val="1"/>
      <w:marLeft w:val="0"/>
      <w:marRight w:val="0"/>
      <w:marTop w:val="0"/>
      <w:marBottom w:val="0"/>
      <w:divBdr>
        <w:top w:val="none" w:sz="0" w:space="0" w:color="auto"/>
        <w:left w:val="none" w:sz="0" w:space="0" w:color="auto"/>
        <w:bottom w:val="none" w:sz="0" w:space="0" w:color="auto"/>
        <w:right w:val="none" w:sz="0" w:space="0" w:color="auto"/>
      </w:divBdr>
    </w:div>
    <w:div w:id="335838922">
      <w:bodyDiv w:val="1"/>
      <w:marLeft w:val="0"/>
      <w:marRight w:val="0"/>
      <w:marTop w:val="0"/>
      <w:marBottom w:val="0"/>
      <w:divBdr>
        <w:top w:val="none" w:sz="0" w:space="0" w:color="auto"/>
        <w:left w:val="none" w:sz="0" w:space="0" w:color="auto"/>
        <w:bottom w:val="none" w:sz="0" w:space="0" w:color="auto"/>
        <w:right w:val="none" w:sz="0" w:space="0" w:color="auto"/>
      </w:divBdr>
    </w:div>
    <w:div w:id="348724069">
      <w:bodyDiv w:val="1"/>
      <w:marLeft w:val="0"/>
      <w:marRight w:val="0"/>
      <w:marTop w:val="0"/>
      <w:marBottom w:val="0"/>
      <w:divBdr>
        <w:top w:val="none" w:sz="0" w:space="0" w:color="auto"/>
        <w:left w:val="none" w:sz="0" w:space="0" w:color="auto"/>
        <w:bottom w:val="none" w:sz="0" w:space="0" w:color="auto"/>
        <w:right w:val="none" w:sz="0" w:space="0" w:color="auto"/>
      </w:divBdr>
    </w:div>
    <w:div w:id="1379354552">
      <w:bodyDiv w:val="1"/>
      <w:marLeft w:val="0"/>
      <w:marRight w:val="0"/>
      <w:marTop w:val="0"/>
      <w:marBottom w:val="0"/>
      <w:divBdr>
        <w:top w:val="none" w:sz="0" w:space="0" w:color="auto"/>
        <w:left w:val="none" w:sz="0" w:space="0" w:color="auto"/>
        <w:bottom w:val="none" w:sz="0" w:space="0" w:color="auto"/>
        <w:right w:val="none" w:sz="0" w:space="0" w:color="auto"/>
      </w:divBdr>
    </w:div>
    <w:div w:id="1482186845">
      <w:bodyDiv w:val="1"/>
      <w:marLeft w:val="0"/>
      <w:marRight w:val="0"/>
      <w:marTop w:val="0"/>
      <w:marBottom w:val="0"/>
      <w:divBdr>
        <w:top w:val="none" w:sz="0" w:space="0" w:color="auto"/>
        <w:left w:val="none" w:sz="0" w:space="0" w:color="auto"/>
        <w:bottom w:val="none" w:sz="0" w:space="0" w:color="auto"/>
        <w:right w:val="none" w:sz="0" w:space="0" w:color="auto"/>
      </w:divBdr>
    </w:div>
    <w:div w:id="1789230972">
      <w:bodyDiv w:val="1"/>
      <w:marLeft w:val="0"/>
      <w:marRight w:val="0"/>
      <w:marTop w:val="0"/>
      <w:marBottom w:val="0"/>
      <w:divBdr>
        <w:top w:val="none" w:sz="0" w:space="0" w:color="auto"/>
        <w:left w:val="none" w:sz="0" w:space="0" w:color="auto"/>
        <w:bottom w:val="none" w:sz="0" w:space="0" w:color="auto"/>
        <w:right w:val="none" w:sz="0" w:space="0" w:color="auto"/>
      </w:divBdr>
    </w:div>
    <w:div w:id="1889415265">
      <w:bodyDiv w:val="1"/>
      <w:marLeft w:val="0"/>
      <w:marRight w:val="0"/>
      <w:marTop w:val="0"/>
      <w:marBottom w:val="0"/>
      <w:divBdr>
        <w:top w:val="none" w:sz="0" w:space="0" w:color="auto"/>
        <w:left w:val="none" w:sz="0" w:space="0" w:color="auto"/>
        <w:bottom w:val="none" w:sz="0" w:space="0" w:color="auto"/>
        <w:right w:val="none" w:sz="0" w:space="0" w:color="auto"/>
      </w:divBdr>
    </w:div>
    <w:div w:id="196596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ftp://ftp.microbio.me/emp/protocols/primers/EMP_16S_V4V5_515F_926R_Parada_Quince.xlsx" TargetMode="Externa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yperlink" Target="ftp://ftp.microbio.me/emp/protocols/primers/EMP_16S_V4_515F_806R_Parada_Apprill.xlsx" TargetMode="External" Id="rId7" /><Relationship Type="http://schemas.openxmlformats.org/officeDocument/2006/relationships/hyperlink" Target="http://biosciences.exeter.ac.uk/sequencing/pricing/internal/" TargetMode="External" Id="rId12" /><Relationship Type="http://schemas.openxmlformats.org/officeDocument/2006/relationships/customXml" Target="../customXml/item3.xml" Id="rId17" /><Relationship Type="http://schemas.openxmlformats.org/officeDocument/2006/relationships/styles" Target="styles.xml" Id="rId2" /><Relationship Type="http://schemas.openxmlformats.org/officeDocument/2006/relationships/customXml" Target="../customXml/item2.xml" Id="rId16" /><Relationship Type="http://schemas.openxmlformats.org/officeDocument/2006/relationships/numbering" Target="numbering.xml" Id="rId1" /><Relationship Type="http://schemas.openxmlformats.org/officeDocument/2006/relationships/hyperlink" Target="https://earthmicrobiome.org/" TargetMode="External" Id="rId6" /><Relationship Type="http://schemas.openxmlformats.org/officeDocument/2006/relationships/customXml" Target="../customXml/item1.xml" Id="rId15" /><Relationship Type="http://schemas.openxmlformats.org/officeDocument/2006/relationships/hyperlink" Target="ftp://ftp.microbio.me/emp/protocols/primers/Euk1391f_EukBr_Nov2016.xlsx" TargetMode="External" Id="rId10" /><Relationship Type="http://schemas.openxmlformats.org/officeDocument/2006/relationships/webSettings" Target="webSettings.xml" Id="rId4" /><Relationship Type="http://schemas.openxmlformats.org/officeDocument/2006/relationships/hyperlink" Target="ftp://ftp.microbio.me/emp/protocols/primers/ITS1f_ITS2_Nov2016.xlsx" TargetMode="External" Id="rId9" /><Relationship Type="http://schemas.openxmlformats.org/officeDocument/2006/relationships/theme" Target="theme/theme1.xml" Id="rId14" /><Relationship Type="http://schemas.microsoft.com/office/2011/relationships/people" Target="people.xml" Id="R01835879b7954f83" /><Relationship Type="http://schemas.microsoft.com/office/2011/relationships/commentsExtended" Target="commentsExtended.xml" Id="R0db44dbac6544ab0" /><Relationship Type="http://schemas.microsoft.com/office/2016/09/relationships/commentsIds" Target="commentsIds.xml" Id="R961edd86c8a34933" /><Relationship Type="http://schemas.openxmlformats.org/officeDocument/2006/relationships/hyperlink" Target="https://www.bioscience.co.uk/products/zymobiomics-microbial-community-standards" TargetMode="External" Id="R96159de6b1114c25" /><Relationship Type="http://schemas.openxmlformats.org/officeDocument/2006/relationships/hyperlink" Target="https://support.illumina.com/documents/documentation/chemistry_documentation/16s/16s-metagenomic-library-prep-guide-15044223-b.pdf" TargetMode="External" Id="R7668c502c02843a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A3A63FEA5B2B4890406C70D7F2AA2E" ma:contentTypeVersion="14" ma:contentTypeDescription="Create a new document." ma:contentTypeScope="" ma:versionID="14eb361465c722daf3981196bbf4de69">
  <xsd:schema xmlns:xsd="http://www.w3.org/2001/XMLSchema" xmlns:xs="http://www.w3.org/2001/XMLSchema" xmlns:p="http://schemas.microsoft.com/office/2006/metadata/properties" xmlns:ns2="836fa7b2-f145-4912-b32b-701572c7d5cc" xmlns:ns3="41b6b909-f0a7-4007-8eaf-90cc2bb218d7" targetNamespace="http://schemas.microsoft.com/office/2006/metadata/properties" ma:root="true" ma:fieldsID="de77091c4548abdd636e8a510a488386" ns2:_="" ns3:_="">
    <xsd:import namespace="836fa7b2-f145-4912-b32b-701572c7d5cc"/>
    <xsd:import namespace="41b6b909-f0a7-4007-8eaf-90cc2bb218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6fa7b2-f145-4912-b32b-701572c7d5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b6b909-f0a7-4007-8eaf-90cc2bb218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23FBB3-CF18-4EAE-84C9-3C871911A96F}"/>
</file>

<file path=customXml/itemProps2.xml><?xml version="1.0" encoding="utf-8"?>
<ds:datastoreItem xmlns:ds="http://schemas.openxmlformats.org/officeDocument/2006/customXml" ds:itemID="{32D1D310-4AE9-4F2F-9BB1-CD0DD6F1D209}"/>
</file>

<file path=customXml/itemProps3.xml><?xml version="1.0" encoding="utf-8"?>
<ds:datastoreItem xmlns:ds="http://schemas.openxmlformats.org/officeDocument/2006/customXml" ds:itemID="{D901FD97-AC44-420C-AA10-3F0E6410C53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Exeter</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Moore, Karen</dc:creator>
  <keywords/>
  <dc:description/>
  <lastModifiedBy>Moore, Karen</lastModifiedBy>
  <revision>6</revision>
  <dcterms:created xsi:type="dcterms:W3CDTF">2021-06-17T15:23:00.0000000Z</dcterms:created>
  <dcterms:modified xsi:type="dcterms:W3CDTF">2022-01-18T09:54:47.0906506Z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0x010100A7A3A63FEA5B2B4890406C70D7F2AA2E</vt:lpwstr>
  </property>
</Properties>
</file>