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A3" w:rsidRDefault="00214F46" w:rsidP="00214F46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E2549" wp14:editId="02291CB8">
                <wp:simplePos x="0" y="0"/>
                <wp:positionH relativeFrom="column">
                  <wp:posOffset>32385</wp:posOffset>
                </wp:positionH>
                <wp:positionV relativeFrom="paragraph">
                  <wp:posOffset>3810</wp:posOffset>
                </wp:positionV>
                <wp:extent cx="6657975" cy="1403985"/>
                <wp:effectExtent l="0" t="0" r="28575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F46" w:rsidRPr="00214F46" w:rsidRDefault="00214F46" w:rsidP="00214F46">
                            <w:pPr>
                              <w:spacing w:before="240" w:after="240" w:line="240" w:lineRule="auto"/>
                              <w:rPr>
                                <w:rFonts w:ascii="Lucida Handwriting" w:hAnsi="Lucida Handwriting"/>
                                <w:b/>
                                <w:sz w:val="40"/>
                                <w:szCs w:val="40"/>
                              </w:rPr>
                            </w:pPr>
                            <w:r w:rsidRPr="00214F46">
                              <w:rPr>
                                <w:rFonts w:ascii="Lucida Handwriting" w:hAnsi="Lucida Handwriting"/>
                                <w:b/>
                                <w:sz w:val="40"/>
                                <w:szCs w:val="40"/>
                              </w:rPr>
                              <w:t>Grammar for Writing</w:t>
                            </w:r>
                            <w:r>
                              <w:rPr>
                                <w:rFonts w:ascii="Lucida Handwriting" w:hAnsi="Lucida Handwriting"/>
                                <w:b/>
                                <w:sz w:val="40"/>
                                <w:szCs w:val="40"/>
                              </w:rPr>
                              <w:t>:  Teaching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.3pt;width:52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" strokecolor="black [3213]">
                <v:textbox style="mso-fit-shape-to-text:t">
                  <w:txbxContent>
                    <w:p w:rsidR="00214F46" w:rsidRPr="00214F46" w:rsidRDefault="00214F46" w:rsidP="00214F46">
                      <w:pPr>
                        <w:spacing w:before="240" w:after="240" w:line="240" w:lineRule="auto"/>
                        <w:rPr>
                          <w:rFonts w:ascii="Lucida Handwriting" w:hAnsi="Lucida Handwriting"/>
                          <w:b/>
                          <w:sz w:val="40"/>
                          <w:szCs w:val="40"/>
                        </w:rPr>
                      </w:pPr>
                      <w:r w:rsidRPr="00214F46">
                        <w:rPr>
                          <w:rFonts w:ascii="Lucida Handwriting" w:hAnsi="Lucida Handwriting"/>
                          <w:b/>
                          <w:sz w:val="40"/>
                          <w:szCs w:val="40"/>
                        </w:rPr>
                        <w:t>Grammar for Writing</w:t>
                      </w:r>
                      <w:r>
                        <w:rPr>
                          <w:rFonts w:ascii="Lucida Handwriting" w:hAnsi="Lucida Handwriting"/>
                          <w:b/>
                          <w:sz w:val="40"/>
                          <w:szCs w:val="40"/>
                        </w:rPr>
                        <w:t>:  Teaching Activities</w:t>
                      </w:r>
                    </w:p>
                  </w:txbxContent>
                </v:textbox>
              </v:shape>
            </w:pict>
          </mc:Fallback>
        </mc:AlternateContent>
      </w:r>
      <w:r w:rsidRPr="00214F46">
        <w:rPr>
          <w:noProof/>
          <w:lang w:eastAsia="en-GB"/>
        </w:rPr>
        <w:drawing>
          <wp:inline distT="0" distB="0" distL="0" distR="0" wp14:anchorId="53D95587" wp14:editId="53B2EDB7">
            <wp:extent cx="1828800" cy="754512"/>
            <wp:effectExtent l="0" t="0" r="0" b="7620"/>
            <wp:docPr id="2053" name="Picture 5" descr="Un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Uni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007" cy="7558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4929"/>
        <w:gridCol w:w="4929"/>
      </w:tblGrid>
      <w:tr w:rsidR="00661E4F" w:rsidTr="004A573E">
        <w:trPr>
          <w:trHeight w:val="794"/>
        </w:trPr>
        <w:tc>
          <w:tcPr>
            <w:tcW w:w="2093" w:type="dxa"/>
            <w:vMerge w:val="restart"/>
          </w:tcPr>
          <w:p w:rsidR="00661E4F" w:rsidRDefault="00661E4F" w:rsidP="00214F46">
            <w:r>
              <w:rPr>
                <w:noProof/>
                <w:lang w:eastAsia="en-GB"/>
              </w:rPr>
              <w:drawing>
                <wp:inline distT="0" distB="0" distL="0" distR="0" wp14:anchorId="04BA4129" wp14:editId="7862676E">
                  <wp:extent cx="762000" cy="101404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F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600" cy="1017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93" w:type="dxa"/>
            <w:gridSpan w:val="3"/>
          </w:tcPr>
          <w:p w:rsidR="00661E4F" w:rsidRPr="00661E4F" w:rsidRDefault="00661E4F" w:rsidP="00214F46">
            <w:pPr>
              <w:rPr>
                <w:b/>
              </w:rPr>
            </w:pPr>
            <w:r w:rsidRPr="00661E4F">
              <w:rPr>
                <w:b/>
              </w:rPr>
              <w:t>Writing Learning Focus:</w:t>
            </w:r>
            <w:r w:rsidRPr="00661E4F">
              <w:rPr>
                <w:b/>
                <w:noProof/>
                <w:lang w:eastAsia="en-GB"/>
              </w:rPr>
              <w:t xml:space="preserve"> </w:t>
            </w:r>
          </w:p>
          <w:p w:rsidR="00661E4F" w:rsidRDefault="00661E4F" w:rsidP="00661E4F">
            <w:pPr>
              <w:pStyle w:val="ListParagraph"/>
              <w:numPr>
                <w:ilvl w:val="0"/>
                <w:numId w:val="2"/>
              </w:numPr>
            </w:pPr>
            <w:r>
              <w:t xml:space="preserve">How to intensify a key moment in a plotline </w:t>
            </w:r>
          </w:p>
          <w:p w:rsidR="00661E4F" w:rsidRDefault="00661E4F"/>
        </w:tc>
      </w:tr>
      <w:tr w:rsidR="00661E4F" w:rsidTr="004A573E">
        <w:trPr>
          <w:trHeight w:val="794"/>
        </w:trPr>
        <w:tc>
          <w:tcPr>
            <w:tcW w:w="2093" w:type="dxa"/>
            <w:vMerge/>
          </w:tcPr>
          <w:p w:rsidR="00661E4F" w:rsidRDefault="00661E4F" w:rsidP="00214F46">
            <w:pPr>
              <w:rPr>
                <w:noProof/>
                <w:lang w:eastAsia="en-GB"/>
              </w:rPr>
            </w:pPr>
          </w:p>
        </w:tc>
        <w:tc>
          <w:tcPr>
            <w:tcW w:w="12693" w:type="dxa"/>
            <w:gridSpan w:val="3"/>
          </w:tcPr>
          <w:p w:rsidR="00661E4F" w:rsidRDefault="00661E4F" w:rsidP="00214F46">
            <w:pPr>
              <w:rPr>
                <w:b/>
              </w:rPr>
            </w:pPr>
            <w:r w:rsidRPr="00661E4F">
              <w:rPr>
                <w:b/>
              </w:rPr>
              <w:t>Grammar Learning Focus:</w:t>
            </w:r>
          </w:p>
          <w:p w:rsidR="00661E4F" w:rsidRPr="00661E4F" w:rsidRDefault="00661E4F" w:rsidP="00661E4F">
            <w:pPr>
              <w:pStyle w:val="ListParagraph"/>
              <w:numPr>
                <w:ilvl w:val="0"/>
                <w:numId w:val="1"/>
              </w:numPr>
            </w:pPr>
            <w:r>
              <w:t>How using a sequence of co-ordinated clauses can help intensify a key moment in a plotline</w:t>
            </w:r>
          </w:p>
        </w:tc>
      </w:tr>
      <w:tr w:rsidR="001820A3" w:rsidTr="006D3FC5">
        <w:tc>
          <w:tcPr>
            <w:tcW w:w="2093" w:type="dxa"/>
          </w:tcPr>
          <w:p w:rsidR="001820A3" w:rsidRPr="001820A3" w:rsidRDefault="001820A3">
            <w:pPr>
              <w:rPr>
                <w:b/>
              </w:rPr>
            </w:pPr>
            <w:r w:rsidRPr="001820A3">
              <w:rPr>
                <w:b/>
              </w:rPr>
              <w:t>Context:</w:t>
            </w:r>
          </w:p>
        </w:tc>
        <w:tc>
          <w:tcPr>
            <w:tcW w:w="12693" w:type="dxa"/>
            <w:gridSpan w:val="3"/>
          </w:tcPr>
          <w:p w:rsidR="001820A3" w:rsidRPr="00ED3DF7" w:rsidRDefault="001820A3">
            <w:pPr>
              <w:rPr>
                <w:sz w:val="20"/>
                <w:szCs w:val="20"/>
              </w:rPr>
            </w:pPr>
            <w:r w:rsidRPr="00ED3DF7">
              <w:rPr>
                <w:sz w:val="20"/>
                <w:szCs w:val="20"/>
              </w:rPr>
              <w:t xml:space="preserve">This activity would fit within a teaching unit where </w:t>
            </w:r>
            <w:r w:rsidR="009527CC" w:rsidRPr="00ED3DF7">
              <w:rPr>
                <w:sz w:val="20"/>
                <w:szCs w:val="20"/>
              </w:rPr>
              <w:t xml:space="preserve">Roald Dahl’s </w:t>
            </w:r>
            <w:r w:rsidR="009527CC" w:rsidRPr="00ED3DF7">
              <w:rPr>
                <w:i/>
                <w:sz w:val="20"/>
                <w:szCs w:val="20"/>
              </w:rPr>
              <w:t>BFG</w:t>
            </w:r>
            <w:r w:rsidR="009527CC" w:rsidRPr="00ED3DF7">
              <w:rPr>
                <w:sz w:val="20"/>
                <w:szCs w:val="20"/>
              </w:rPr>
              <w:t xml:space="preserve"> is shared reading, and where children are working on developing understanding of narrative writing, especially plot development.  The activity could be adapted to suit the reading of a</w:t>
            </w:r>
            <w:r w:rsidR="00B54D52" w:rsidRPr="00ED3DF7">
              <w:rPr>
                <w:sz w:val="20"/>
                <w:szCs w:val="20"/>
              </w:rPr>
              <w:t>l</w:t>
            </w:r>
            <w:r w:rsidR="009527CC" w:rsidRPr="00ED3DF7">
              <w:rPr>
                <w:sz w:val="20"/>
                <w:szCs w:val="20"/>
              </w:rPr>
              <w:t>most any other narrative text, as this pattern of sequenced co-ordinated clauses is very common.</w:t>
            </w:r>
          </w:p>
        </w:tc>
      </w:tr>
      <w:tr w:rsidR="00214F46" w:rsidTr="00ED3DF7">
        <w:tc>
          <w:tcPr>
            <w:tcW w:w="4928" w:type="dxa"/>
            <w:gridSpan w:val="2"/>
          </w:tcPr>
          <w:p w:rsidR="00214F46" w:rsidRPr="001820A3" w:rsidRDefault="001820A3">
            <w:pPr>
              <w:rPr>
                <w:b/>
              </w:rPr>
            </w:pPr>
            <w:r w:rsidRPr="001820A3">
              <w:rPr>
                <w:b/>
              </w:rPr>
              <w:t>Let’s Talk!</w:t>
            </w:r>
          </w:p>
          <w:p w:rsidR="001820A3" w:rsidRDefault="001820A3"/>
          <w:p w:rsidR="001820A3" w:rsidRPr="00ED3DF7" w:rsidRDefault="00ED3DF7">
            <w:pPr>
              <w:rPr>
                <w:sz w:val="20"/>
                <w:szCs w:val="20"/>
              </w:rPr>
            </w:pPr>
            <w:r w:rsidRPr="00ED3DF7">
              <w:rPr>
                <w:sz w:val="20"/>
                <w:szCs w:val="20"/>
              </w:rPr>
              <w:t xml:space="preserve">During the paired task, support children in reading the sentences aloud to hear their effect.  Help all children to see the repeated </w:t>
            </w:r>
            <w:r w:rsidRPr="00ED3DF7">
              <w:rPr>
                <w:i/>
                <w:sz w:val="20"/>
                <w:szCs w:val="20"/>
              </w:rPr>
              <w:t>and</w:t>
            </w:r>
            <w:r w:rsidRPr="00ED3DF7">
              <w:rPr>
                <w:sz w:val="20"/>
                <w:szCs w:val="20"/>
              </w:rPr>
              <w:t>; extend learning by inviting children to recognise the verbs, and for the most able, the clauses.</w:t>
            </w:r>
          </w:p>
          <w:p w:rsidR="00ED3DF7" w:rsidRPr="00ED3DF7" w:rsidRDefault="00ED3DF7">
            <w:pPr>
              <w:rPr>
                <w:sz w:val="20"/>
                <w:szCs w:val="20"/>
              </w:rPr>
            </w:pPr>
          </w:p>
          <w:p w:rsidR="00ED3DF7" w:rsidRDefault="00ED3DF7">
            <w:pPr>
              <w:rPr>
                <w:sz w:val="20"/>
                <w:szCs w:val="20"/>
              </w:rPr>
            </w:pPr>
            <w:r w:rsidRPr="00ED3DF7">
              <w:rPr>
                <w:sz w:val="20"/>
                <w:szCs w:val="20"/>
              </w:rPr>
              <w:t xml:space="preserve">During the feedback, use questioning to ensure all see </w:t>
            </w:r>
            <w:proofErr w:type="gramStart"/>
            <w:r w:rsidRPr="00ED3DF7">
              <w:rPr>
                <w:sz w:val="20"/>
                <w:szCs w:val="20"/>
              </w:rPr>
              <w:t xml:space="preserve">the </w:t>
            </w:r>
            <w:r w:rsidRPr="00ED3DF7">
              <w:rPr>
                <w:i/>
                <w:sz w:val="20"/>
                <w:szCs w:val="20"/>
              </w:rPr>
              <w:t>and</w:t>
            </w:r>
            <w:proofErr w:type="gramEnd"/>
            <w:r w:rsidRPr="00ED3DF7">
              <w:rPr>
                <w:sz w:val="20"/>
                <w:szCs w:val="20"/>
              </w:rPr>
              <w:t xml:space="preserve"> pattern</w:t>
            </w:r>
            <w:r>
              <w:rPr>
                <w:sz w:val="20"/>
                <w:szCs w:val="20"/>
              </w:rPr>
              <w:t>, and the verbs.  You could talk about the effect of the alliteration and rhyme (humorous?).</w:t>
            </w:r>
          </w:p>
          <w:p w:rsidR="00ED3DF7" w:rsidRDefault="00ED3DF7">
            <w:pPr>
              <w:rPr>
                <w:sz w:val="20"/>
                <w:szCs w:val="20"/>
              </w:rPr>
            </w:pPr>
          </w:p>
          <w:p w:rsidR="00ED3DF7" w:rsidRDefault="00ED3DF7" w:rsidP="00ED3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During the final whole class discussion, manage the discussion carefully to allow children to explore their views of this pattern, and create space for alternative interpretations</w:t>
            </w:r>
            <w:r w:rsidR="005E7C8A">
              <w:rPr>
                <w:sz w:val="20"/>
                <w:szCs w:val="20"/>
              </w:rPr>
              <w:t xml:space="preserve"> </w:t>
            </w:r>
            <w:proofErr w:type="spellStart"/>
            <w:r w:rsidR="005E7C8A">
              <w:rPr>
                <w:sz w:val="20"/>
                <w:szCs w:val="20"/>
              </w:rPr>
              <w:t>eg</w:t>
            </w:r>
            <w:proofErr w:type="spellEnd"/>
            <w:r w:rsidR="005E7C8A">
              <w:rPr>
                <w:sz w:val="20"/>
                <w:szCs w:val="20"/>
              </w:rPr>
              <w:t xml:space="preserve"> it emphasises how hard the giants are fighting; it makes us laugh at the giant’s movements…</w:t>
            </w:r>
          </w:p>
          <w:p w:rsidR="005E7C8A" w:rsidRDefault="005E7C8A" w:rsidP="00ED3DF7">
            <w:pPr>
              <w:rPr>
                <w:sz w:val="20"/>
                <w:szCs w:val="20"/>
              </w:rPr>
            </w:pPr>
          </w:p>
          <w:p w:rsidR="005E7C8A" w:rsidRDefault="005E7C8A" w:rsidP="00ED3DF7">
            <w:r>
              <w:rPr>
                <w:sz w:val="20"/>
                <w:szCs w:val="20"/>
              </w:rPr>
              <w:t>Children often don’t realise that in a list of clauses a comma can substitute for and: this is a good opportunity to point this out.</w:t>
            </w:r>
          </w:p>
        </w:tc>
        <w:tc>
          <w:tcPr>
            <w:tcW w:w="4929" w:type="dxa"/>
          </w:tcPr>
          <w:p w:rsidR="000F5E37" w:rsidRPr="005E7C8A" w:rsidRDefault="000F5E37" w:rsidP="00ED3DF7">
            <w:pPr>
              <w:spacing w:after="60"/>
              <w:rPr>
                <w:b/>
              </w:rPr>
            </w:pPr>
            <w:r w:rsidRPr="005E7C8A">
              <w:rPr>
                <w:b/>
              </w:rPr>
              <w:t>Activity Outline:</w:t>
            </w:r>
          </w:p>
          <w:p w:rsidR="00214F46" w:rsidRPr="00ED3DF7" w:rsidRDefault="00B54D52" w:rsidP="00ED3DF7">
            <w:pPr>
              <w:spacing w:after="60"/>
              <w:rPr>
                <w:sz w:val="20"/>
                <w:szCs w:val="20"/>
              </w:rPr>
            </w:pPr>
            <w:r w:rsidRPr="00ED3DF7">
              <w:rPr>
                <w:sz w:val="20"/>
                <w:szCs w:val="20"/>
                <w:u w:val="single"/>
              </w:rPr>
              <w:t>Whole class:</w:t>
            </w:r>
            <w:r w:rsidRPr="00ED3DF7">
              <w:rPr>
                <w:sz w:val="20"/>
                <w:szCs w:val="20"/>
              </w:rPr>
              <w:t xml:space="preserve"> Share again the reading  of the sections where th</w:t>
            </w:r>
            <w:r w:rsidR="001F4A94">
              <w:rPr>
                <w:sz w:val="20"/>
                <w:szCs w:val="20"/>
              </w:rPr>
              <w:t>e</w:t>
            </w:r>
            <w:r w:rsidRPr="00ED3DF7">
              <w:rPr>
                <w:sz w:val="20"/>
                <w:szCs w:val="20"/>
              </w:rPr>
              <w:t>s</w:t>
            </w:r>
            <w:r w:rsidR="001F4A94">
              <w:rPr>
                <w:sz w:val="20"/>
                <w:szCs w:val="20"/>
              </w:rPr>
              <w:t>e</w:t>
            </w:r>
            <w:r w:rsidRPr="00ED3DF7">
              <w:rPr>
                <w:sz w:val="20"/>
                <w:szCs w:val="20"/>
              </w:rPr>
              <w:t xml:space="preserve"> come from  </w:t>
            </w:r>
            <w:r w:rsidRPr="002C1127">
              <w:rPr>
                <w:sz w:val="20"/>
                <w:szCs w:val="20"/>
              </w:rPr>
              <w:t>(</w:t>
            </w:r>
            <w:r w:rsidR="002C1127" w:rsidRPr="002C1127">
              <w:rPr>
                <w:sz w:val="20"/>
                <w:szCs w:val="20"/>
              </w:rPr>
              <w:t>pages 95/6;194;95; 90</w:t>
            </w:r>
            <w:r w:rsidRPr="002C1127">
              <w:rPr>
                <w:sz w:val="20"/>
                <w:szCs w:val="20"/>
              </w:rPr>
              <w:t>)</w:t>
            </w:r>
          </w:p>
          <w:p w:rsidR="00B54D52" w:rsidRPr="00ED3DF7" w:rsidRDefault="00B54D52" w:rsidP="00ED3DF7">
            <w:pPr>
              <w:spacing w:after="60"/>
              <w:rPr>
                <w:i/>
                <w:sz w:val="20"/>
                <w:szCs w:val="20"/>
              </w:rPr>
            </w:pPr>
            <w:r w:rsidRPr="00ED3DF7">
              <w:rPr>
                <w:sz w:val="20"/>
                <w:szCs w:val="20"/>
                <w:u w:val="single"/>
              </w:rPr>
              <w:t>Pairs/threes</w:t>
            </w:r>
            <w:r w:rsidRPr="00ED3DF7">
              <w:rPr>
                <w:sz w:val="20"/>
                <w:szCs w:val="20"/>
              </w:rPr>
              <w:t xml:space="preserve">: teachers hands out or displays the four sentences, exemplifying the co-ordinated clause pattern, and asks children to read them aloud and to explore any patterns they can see.  If necessary, prompt with </w:t>
            </w:r>
            <w:r w:rsidRPr="00ED3DF7">
              <w:rPr>
                <w:i/>
                <w:sz w:val="20"/>
                <w:szCs w:val="20"/>
              </w:rPr>
              <w:t>Are there any repeated words?</w:t>
            </w:r>
            <w:r w:rsidR="000F5E37" w:rsidRPr="00ED3DF7">
              <w:rPr>
                <w:i/>
                <w:sz w:val="20"/>
                <w:szCs w:val="20"/>
              </w:rPr>
              <w:t xml:space="preserve"> </w:t>
            </w:r>
          </w:p>
          <w:p w:rsidR="000F5E37" w:rsidRPr="00ED3DF7" w:rsidRDefault="000F5E37" w:rsidP="00ED3DF7">
            <w:pPr>
              <w:spacing w:after="60"/>
              <w:rPr>
                <w:sz w:val="20"/>
                <w:szCs w:val="20"/>
              </w:rPr>
            </w:pPr>
            <w:r w:rsidRPr="00ED3DF7">
              <w:rPr>
                <w:sz w:val="20"/>
                <w:szCs w:val="20"/>
                <w:u w:val="single"/>
              </w:rPr>
              <w:t>Whole class:</w:t>
            </w:r>
            <w:r w:rsidRPr="00ED3DF7">
              <w:rPr>
                <w:sz w:val="20"/>
                <w:szCs w:val="20"/>
              </w:rPr>
              <w:t xml:space="preserve"> take feedback from pairs on patterns noticed: they might pick up on alliteration and rhyme in the second sentence; or the number of verbs in these sentences; as well as the repetition of ‘and’.</w:t>
            </w:r>
          </w:p>
          <w:p w:rsidR="000F5E37" w:rsidRPr="00ED3DF7" w:rsidRDefault="000F5E37" w:rsidP="00ED3DF7">
            <w:pPr>
              <w:spacing w:after="60"/>
              <w:rPr>
                <w:sz w:val="20"/>
                <w:szCs w:val="20"/>
              </w:rPr>
            </w:pPr>
            <w:r w:rsidRPr="00ED3DF7">
              <w:rPr>
                <w:sz w:val="20"/>
                <w:szCs w:val="20"/>
                <w:u w:val="single"/>
              </w:rPr>
              <w:t>Teacher:</w:t>
            </w:r>
            <w:r w:rsidRPr="00ED3DF7">
              <w:rPr>
                <w:sz w:val="20"/>
                <w:szCs w:val="20"/>
              </w:rPr>
              <w:t xml:space="preserve"> use colour to highlight the </w:t>
            </w:r>
            <w:r w:rsidRPr="00ED3DF7">
              <w:rPr>
                <w:i/>
                <w:sz w:val="20"/>
                <w:szCs w:val="20"/>
              </w:rPr>
              <w:t>‘and’</w:t>
            </w:r>
            <w:r w:rsidRPr="00ED3DF7">
              <w:rPr>
                <w:sz w:val="20"/>
                <w:szCs w:val="20"/>
              </w:rPr>
              <w:t xml:space="preserve"> repetition</w:t>
            </w:r>
            <w:r w:rsidR="00ED3DF7" w:rsidRPr="00ED3DF7">
              <w:rPr>
                <w:sz w:val="20"/>
                <w:szCs w:val="20"/>
              </w:rPr>
              <w:t xml:space="preserve">, and underline the verbs. Explain that these are a sequence of co-ordinated clauses (finite verb joined by </w:t>
            </w:r>
            <w:r w:rsidR="00ED3DF7" w:rsidRPr="00ED3DF7">
              <w:rPr>
                <w:i/>
                <w:sz w:val="20"/>
                <w:szCs w:val="20"/>
              </w:rPr>
              <w:t>and</w:t>
            </w:r>
            <w:r w:rsidR="00ED3DF7" w:rsidRPr="00ED3DF7">
              <w:rPr>
                <w:sz w:val="20"/>
                <w:szCs w:val="20"/>
              </w:rPr>
              <w:t>).</w:t>
            </w:r>
            <w:r w:rsidR="005E7C8A">
              <w:rPr>
                <w:sz w:val="20"/>
                <w:szCs w:val="20"/>
              </w:rPr>
              <w:t xml:space="preserve">  Also note the comma instead of </w:t>
            </w:r>
            <w:r w:rsidR="005E7C8A" w:rsidRPr="005E7C8A">
              <w:rPr>
                <w:i/>
                <w:sz w:val="20"/>
                <w:szCs w:val="20"/>
              </w:rPr>
              <w:t>and</w:t>
            </w:r>
            <w:r w:rsidR="005E7C8A">
              <w:rPr>
                <w:sz w:val="20"/>
                <w:szCs w:val="20"/>
              </w:rPr>
              <w:t xml:space="preserve"> in the final text.</w:t>
            </w:r>
          </w:p>
          <w:p w:rsidR="00214F46" w:rsidRDefault="00ED3DF7" w:rsidP="00ED3DF7">
            <w:pPr>
              <w:spacing w:after="60"/>
              <w:rPr>
                <w:sz w:val="20"/>
                <w:szCs w:val="20"/>
              </w:rPr>
            </w:pPr>
            <w:r w:rsidRPr="00ED3DF7">
              <w:rPr>
                <w:sz w:val="20"/>
                <w:szCs w:val="20"/>
                <w:u w:val="single"/>
              </w:rPr>
              <w:t>Whole class</w:t>
            </w:r>
            <w:r>
              <w:rPr>
                <w:sz w:val="20"/>
                <w:szCs w:val="20"/>
              </w:rPr>
              <w:t>: discuss the effect of these</w:t>
            </w:r>
            <w:r w:rsidRPr="00ED3DF7">
              <w:rPr>
                <w:sz w:val="20"/>
                <w:szCs w:val="20"/>
              </w:rPr>
              <w:t xml:space="preserve"> sequences of co-ordinated clauses</w:t>
            </w:r>
            <w:r>
              <w:rPr>
                <w:sz w:val="20"/>
                <w:szCs w:val="20"/>
              </w:rPr>
              <w:t>, drawing out how they intensify the action being described.</w:t>
            </w:r>
          </w:p>
          <w:p w:rsidR="004A573E" w:rsidRPr="00ED3DF7" w:rsidRDefault="004251E2" w:rsidP="004A573E">
            <w:pPr>
              <w:spacing w:after="60"/>
              <w:rPr>
                <w:sz w:val="20"/>
                <w:szCs w:val="20"/>
              </w:rPr>
            </w:pPr>
            <w:r w:rsidRPr="004251E2">
              <w:rPr>
                <w:sz w:val="20"/>
                <w:szCs w:val="20"/>
                <w:u w:val="single"/>
              </w:rPr>
              <w:t>Individual</w:t>
            </w:r>
            <w:r w:rsidRPr="004251E2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s</w:t>
            </w:r>
            <w:bookmarkStart w:id="0" w:name="_GoBack"/>
            <w:bookmarkEnd w:id="0"/>
            <w:r w:rsidR="004A573E" w:rsidRPr="004251E2">
              <w:rPr>
                <w:sz w:val="20"/>
                <w:szCs w:val="20"/>
              </w:rPr>
              <w:t xml:space="preserve">tudents to look at their own </w:t>
            </w:r>
            <w:proofErr w:type="gramStart"/>
            <w:r w:rsidR="004A573E" w:rsidRPr="004251E2">
              <w:rPr>
                <w:sz w:val="20"/>
                <w:szCs w:val="20"/>
              </w:rPr>
              <w:t>narrative  and</w:t>
            </w:r>
            <w:proofErr w:type="gramEnd"/>
            <w:r w:rsidR="004A573E" w:rsidRPr="004251E2">
              <w:rPr>
                <w:sz w:val="20"/>
                <w:szCs w:val="20"/>
              </w:rPr>
              <w:t xml:space="preserve"> consider whether using a sequence of co-ordinated clauses would intensify a key moment in the plot.</w:t>
            </w:r>
          </w:p>
        </w:tc>
        <w:tc>
          <w:tcPr>
            <w:tcW w:w="4929" w:type="dxa"/>
          </w:tcPr>
          <w:p w:rsidR="00214F46" w:rsidRPr="001820A3" w:rsidRDefault="008F0307">
            <w:pPr>
              <w:rPr>
                <w:b/>
              </w:rPr>
            </w:pPr>
            <w:r w:rsidRPr="001820A3">
              <w:rPr>
                <w:b/>
              </w:rPr>
              <w:t>Text examples:</w:t>
            </w:r>
          </w:p>
          <w:p w:rsidR="008F0307" w:rsidRDefault="008F0307" w:rsidP="001820A3">
            <w:pPr>
              <w:tabs>
                <w:tab w:val="left" w:pos="208"/>
              </w:tabs>
            </w:pPr>
          </w:p>
          <w:p w:rsidR="008F0307" w:rsidRDefault="008F0307" w:rsidP="001820A3">
            <w:pPr>
              <w:pBdr>
                <w:top w:val="wave" w:sz="6" w:space="1" w:color="auto"/>
                <w:left w:val="wave" w:sz="6" w:space="4" w:color="auto"/>
                <w:bottom w:val="wave" w:sz="6" w:space="1" w:color="auto"/>
                <w:right w:val="wave" w:sz="6" w:space="4" w:color="auto"/>
              </w:pBdr>
              <w:tabs>
                <w:tab w:val="left" w:pos="0"/>
              </w:tabs>
              <w:ind w:left="208" w:right="253"/>
              <w:jc w:val="both"/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2778C7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They punched and kicked and scratched and bit and butted each other as hard as they could.</w:t>
            </w:r>
          </w:p>
          <w:p w:rsidR="008F0307" w:rsidRPr="002778C7" w:rsidRDefault="008F0307" w:rsidP="001820A3">
            <w:pPr>
              <w:tabs>
                <w:tab w:val="left" w:pos="0"/>
              </w:tabs>
              <w:ind w:left="208" w:right="253"/>
              <w:jc w:val="both"/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</w:p>
          <w:p w:rsidR="008F0307" w:rsidRDefault="008F0307" w:rsidP="001820A3">
            <w:pPr>
              <w:pBdr>
                <w:top w:val="wave" w:sz="6" w:space="1" w:color="auto"/>
                <w:left w:val="wave" w:sz="6" w:space="4" w:color="auto"/>
                <w:bottom w:val="wave" w:sz="6" w:space="1" w:color="auto"/>
                <w:right w:val="wave" w:sz="6" w:space="4" w:color="auto"/>
              </w:pBdr>
              <w:tabs>
                <w:tab w:val="left" w:pos="0"/>
              </w:tabs>
              <w:ind w:left="208" w:right="253"/>
              <w:jc w:val="both"/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661E4F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 xml:space="preserve">He rolled and wiggled, he fought and he </w:t>
            </w:r>
            <w:proofErr w:type="spellStart"/>
            <w:r w:rsidRPr="00661E4F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figgled</w:t>
            </w:r>
            <w:proofErr w:type="spellEnd"/>
            <w:r w:rsidRPr="00661E4F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, he squirmed and he squiggled</w:t>
            </w:r>
            <w:r w:rsidRPr="002778C7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.</w:t>
            </w:r>
          </w:p>
          <w:p w:rsidR="008F0307" w:rsidRPr="002778C7" w:rsidRDefault="008F0307" w:rsidP="001820A3">
            <w:pPr>
              <w:tabs>
                <w:tab w:val="left" w:pos="0"/>
              </w:tabs>
              <w:ind w:left="208" w:right="253"/>
              <w:jc w:val="both"/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</w:p>
          <w:p w:rsidR="008F0307" w:rsidRDefault="008F0307" w:rsidP="001820A3">
            <w:pPr>
              <w:pBdr>
                <w:top w:val="wave" w:sz="6" w:space="1" w:color="auto"/>
                <w:left w:val="wave" w:sz="6" w:space="4" w:color="auto"/>
                <w:bottom w:val="wave" w:sz="6" w:space="1" w:color="auto"/>
                <w:right w:val="wave" w:sz="6" w:space="4" w:color="auto"/>
              </w:pBdr>
              <w:tabs>
                <w:tab w:val="left" w:pos="0"/>
              </w:tabs>
              <w:ind w:left="208" w:right="253"/>
              <w:jc w:val="both"/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2778C7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The giants roared and screamed and cursed, and for many minutes the noise of battle rolled across the yellow plain.</w:t>
            </w:r>
          </w:p>
          <w:p w:rsidR="008F0307" w:rsidRPr="002778C7" w:rsidRDefault="008F0307" w:rsidP="001820A3">
            <w:pPr>
              <w:tabs>
                <w:tab w:val="left" w:pos="0"/>
              </w:tabs>
              <w:ind w:left="208" w:right="253"/>
              <w:jc w:val="both"/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</w:p>
          <w:p w:rsidR="008F0307" w:rsidRDefault="008F0307" w:rsidP="001820A3">
            <w:pPr>
              <w:pBdr>
                <w:top w:val="wave" w:sz="6" w:space="1" w:color="auto"/>
                <w:left w:val="wave" w:sz="6" w:space="4" w:color="auto"/>
                <w:bottom w:val="wave" w:sz="6" w:space="1" w:color="auto"/>
                <w:right w:val="wave" w:sz="6" w:space="4" w:color="auto"/>
              </w:pBdr>
              <w:tabs>
                <w:tab w:val="left" w:pos="0"/>
              </w:tabs>
              <w:ind w:left="208" w:right="253"/>
              <w:jc w:val="both"/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  <w:r w:rsidRPr="002778C7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 xml:space="preserve">He took a deep breath, puffed out his cheeks and then </w:t>
            </w:r>
            <w:proofErr w:type="spellStart"/>
            <w:r w:rsidRPr="002778C7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whoof</w:t>
            </w:r>
            <w:proofErr w:type="spellEnd"/>
            <w:r w:rsidRPr="002778C7"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  <w:t>!</w:t>
            </w:r>
          </w:p>
          <w:p w:rsidR="008F0307" w:rsidRDefault="008F0307" w:rsidP="001820A3">
            <w:pPr>
              <w:tabs>
                <w:tab w:val="left" w:pos="208"/>
              </w:tabs>
              <w:ind w:left="567" w:right="566"/>
              <w:jc w:val="both"/>
              <w:rPr>
                <w:rFonts w:ascii="Arial Narrow" w:hAnsi="Arial Narrow"/>
                <w:i/>
                <w:color w:val="000000" w:themeColor="text1"/>
                <w:sz w:val="24"/>
                <w:szCs w:val="24"/>
              </w:rPr>
            </w:pPr>
          </w:p>
          <w:p w:rsidR="008F0307" w:rsidRDefault="008F0307"/>
        </w:tc>
      </w:tr>
    </w:tbl>
    <w:p w:rsidR="00214F46" w:rsidRDefault="00214F46"/>
    <w:sectPr w:rsidR="00214F46" w:rsidSect="004251E2">
      <w:pgSz w:w="16838" w:h="11906" w:orient="landscape"/>
      <w:pgMar w:top="794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049A"/>
    <w:multiLevelType w:val="hybridMultilevel"/>
    <w:tmpl w:val="50F8D3C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EC5E55"/>
    <w:multiLevelType w:val="hybridMultilevel"/>
    <w:tmpl w:val="4BA8FF6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46"/>
    <w:rsid w:val="000F5E37"/>
    <w:rsid w:val="001820A3"/>
    <w:rsid w:val="001F4A94"/>
    <w:rsid w:val="00214F46"/>
    <w:rsid w:val="002C1127"/>
    <w:rsid w:val="004251E2"/>
    <w:rsid w:val="004A573E"/>
    <w:rsid w:val="005E7C8A"/>
    <w:rsid w:val="006356A3"/>
    <w:rsid w:val="00661E4F"/>
    <w:rsid w:val="008F0307"/>
    <w:rsid w:val="009527CC"/>
    <w:rsid w:val="00B54D52"/>
    <w:rsid w:val="00B75EE4"/>
    <w:rsid w:val="00ED3DF7"/>
    <w:rsid w:val="00FB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F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F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Myhill, Debra</dc:creator>
  <cp:lastModifiedBy>helen lines</cp:lastModifiedBy>
  <cp:revision>3</cp:revision>
  <dcterms:created xsi:type="dcterms:W3CDTF">2017-02-07T13:57:00Z</dcterms:created>
  <dcterms:modified xsi:type="dcterms:W3CDTF">2017-03-31T11:49:00Z</dcterms:modified>
</cp:coreProperties>
</file>