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18E" w:rsidRPr="00AB59E6" w:rsidRDefault="008E02FB" w:rsidP="00BB118E">
      <w:pPr>
        <w:rPr>
          <w:rFonts w:ascii="Arial" w:hAnsi="Arial" w:cs="Arial"/>
          <w:b/>
        </w:rPr>
      </w:pPr>
      <w:bookmarkStart w:id="0" w:name="_GoBack"/>
      <w:bookmarkEnd w:id="0"/>
      <w:r w:rsidRPr="00AB59E6">
        <w:rPr>
          <w:rFonts w:ascii="Arial" w:eastAsia="Times New Roman" w:hAnsi="Arial" w:cs="Arial"/>
          <w:b/>
          <w:bCs/>
          <w:noProof/>
          <w:sz w:val="28"/>
          <w:lang w:eastAsia="en-GB"/>
        </w:rPr>
        <w:drawing>
          <wp:inline distT="0" distB="0" distL="0" distR="0" wp14:anchorId="15DEF49A" wp14:editId="255A6701">
            <wp:extent cx="1798320" cy="746760"/>
            <wp:effectExtent l="0" t="0" r="0" b="0"/>
            <wp:docPr id="1" name="Picture 1" descr="u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8320" cy="746760"/>
                    </a:xfrm>
                    <a:prstGeom prst="rect">
                      <a:avLst/>
                    </a:prstGeom>
                    <a:noFill/>
                    <a:ln>
                      <a:noFill/>
                    </a:ln>
                  </pic:spPr>
                </pic:pic>
              </a:graphicData>
            </a:graphic>
          </wp:inline>
        </w:drawing>
      </w:r>
      <w:r w:rsidR="00BB118E" w:rsidRPr="00BB118E">
        <w:rPr>
          <w:rFonts w:ascii="Arial" w:hAnsi="Arial" w:cs="Arial"/>
          <w:b/>
        </w:rPr>
        <w:t xml:space="preserve"> </w:t>
      </w:r>
      <w:r w:rsidR="00BB118E" w:rsidRPr="00AB59E6">
        <w:rPr>
          <w:rFonts w:ascii="Arial" w:hAnsi="Arial" w:cs="Arial"/>
          <w:b/>
        </w:rPr>
        <w:t>Clinical Academic Joint Appraisal Procedures</w:t>
      </w:r>
    </w:p>
    <w:p w:rsidR="008E02FB" w:rsidRPr="00AB59E6" w:rsidRDefault="008E02FB" w:rsidP="00C96558">
      <w:pPr>
        <w:spacing w:line="240" w:lineRule="auto"/>
        <w:rPr>
          <w:rFonts w:ascii="Arial" w:hAnsi="Arial" w:cs="Arial"/>
          <w:b/>
        </w:rPr>
      </w:pPr>
    </w:p>
    <w:tbl>
      <w:tblPr>
        <w:tblStyle w:val="TableGrid"/>
        <w:tblW w:w="0" w:type="auto"/>
        <w:tblLook w:val="04A0" w:firstRow="1" w:lastRow="0" w:firstColumn="1" w:lastColumn="0" w:noHBand="0" w:noVBand="1"/>
      </w:tblPr>
      <w:tblGrid>
        <w:gridCol w:w="1526"/>
        <w:gridCol w:w="1134"/>
        <w:gridCol w:w="6582"/>
      </w:tblGrid>
      <w:tr w:rsidR="003462F0" w:rsidRPr="00AB59E6" w:rsidTr="003462F0">
        <w:tc>
          <w:tcPr>
            <w:tcW w:w="1526" w:type="dxa"/>
          </w:tcPr>
          <w:p w:rsidR="003462F0" w:rsidRPr="00AB59E6" w:rsidRDefault="003462F0">
            <w:pPr>
              <w:rPr>
                <w:rFonts w:ascii="Arial" w:hAnsi="Arial" w:cs="Arial"/>
              </w:rPr>
            </w:pPr>
            <w:r w:rsidRPr="00AB59E6">
              <w:rPr>
                <w:rFonts w:ascii="Arial" w:hAnsi="Arial" w:cs="Arial"/>
              </w:rPr>
              <w:t>Page</w:t>
            </w:r>
          </w:p>
        </w:tc>
        <w:tc>
          <w:tcPr>
            <w:tcW w:w="1134" w:type="dxa"/>
          </w:tcPr>
          <w:p w:rsidR="003462F0" w:rsidRPr="00AB59E6" w:rsidRDefault="003462F0">
            <w:pPr>
              <w:rPr>
                <w:rFonts w:ascii="Arial" w:hAnsi="Arial" w:cs="Arial"/>
              </w:rPr>
            </w:pPr>
            <w:r w:rsidRPr="00AB59E6">
              <w:rPr>
                <w:rFonts w:ascii="Arial" w:hAnsi="Arial" w:cs="Arial"/>
              </w:rPr>
              <w:t>Point</w:t>
            </w:r>
          </w:p>
        </w:tc>
        <w:tc>
          <w:tcPr>
            <w:tcW w:w="6582" w:type="dxa"/>
          </w:tcPr>
          <w:p w:rsidR="003462F0" w:rsidRPr="00AB59E6" w:rsidRDefault="003462F0">
            <w:pPr>
              <w:rPr>
                <w:rFonts w:ascii="Arial" w:hAnsi="Arial" w:cs="Arial"/>
              </w:rPr>
            </w:pPr>
            <w:r w:rsidRPr="00AB59E6">
              <w:rPr>
                <w:rFonts w:ascii="Arial" w:hAnsi="Arial" w:cs="Arial"/>
              </w:rPr>
              <w:t>Item</w:t>
            </w:r>
          </w:p>
        </w:tc>
      </w:tr>
      <w:tr w:rsidR="003462F0" w:rsidRPr="00AB59E6" w:rsidTr="003462F0">
        <w:tc>
          <w:tcPr>
            <w:tcW w:w="1526" w:type="dxa"/>
          </w:tcPr>
          <w:p w:rsidR="003462F0" w:rsidRPr="00AB59E6" w:rsidRDefault="00C55F7F">
            <w:pPr>
              <w:rPr>
                <w:rFonts w:ascii="Arial" w:hAnsi="Arial" w:cs="Arial"/>
              </w:rPr>
            </w:pPr>
            <w:r w:rsidRPr="00AB59E6">
              <w:rPr>
                <w:rFonts w:ascii="Arial" w:hAnsi="Arial" w:cs="Arial"/>
              </w:rPr>
              <w:t>2</w:t>
            </w:r>
          </w:p>
        </w:tc>
        <w:tc>
          <w:tcPr>
            <w:tcW w:w="1134" w:type="dxa"/>
          </w:tcPr>
          <w:p w:rsidR="003462F0" w:rsidRPr="00AB59E6" w:rsidRDefault="00C55F7F">
            <w:pPr>
              <w:rPr>
                <w:rFonts w:ascii="Arial" w:hAnsi="Arial" w:cs="Arial"/>
              </w:rPr>
            </w:pPr>
            <w:r w:rsidRPr="00AB59E6">
              <w:rPr>
                <w:rFonts w:ascii="Arial" w:hAnsi="Arial" w:cs="Arial"/>
              </w:rPr>
              <w:t>1</w:t>
            </w:r>
          </w:p>
          <w:p w:rsidR="00C55F7F" w:rsidRPr="00AB59E6" w:rsidRDefault="00C55F7F">
            <w:pPr>
              <w:rPr>
                <w:rFonts w:ascii="Arial" w:hAnsi="Arial" w:cs="Arial"/>
              </w:rPr>
            </w:pPr>
            <w:r w:rsidRPr="00AB59E6">
              <w:rPr>
                <w:rFonts w:ascii="Arial" w:hAnsi="Arial" w:cs="Arial"/>
              </w:rPr>
              <w:t>2</w:t>
            </w:r>
          </w:p>
        </w:tc>
        <w:tc>
          <w:tcPr>
            <w:tcW w:w="6582" w:type="dxa"/>
          </w:tcPr>
          <w:p w:rsidR="003462F0" w:rsidRPr="00AB59E6" w:rsidRDefault="00C55F7F">
            <w:pPr>
              <w:rPr>
                <w:rFonts w:ascii="Arial" w:hAnsi="Arial" w:cs="Arial"/>
              </w:rPr>
            </w:pPr>
            <w:r w:rsidRPr="00AB59E6">
              <w:rPr>
                <w:rFonts w:ascii="Arial" w:hAnsi="Arial" w:cs="Arial"/>
              </w:rPr>
              <w:t>Purpose</w:t>
            </w:r>
          </w:p>
          <w:p w:rsidR="00C55F7F" w:rsidRPr="00AB59E6" w:rsidRDefault="00C55F7F">
            <w:pPr>
              <w:rPr>
                <w:rFonts w:ascii="Arial" w:hAnsi="Arial" w:cs="Arial"/>
              </w:rPr>
            </w:pPr>
            <w:r w:rsidRPr="00AB59E6">
              <w:rPr>
                <w:rFonts w:ascii="Arial" w:hAnsi="Arial" w:cs="Arial"/>
              </w:rPr>
              <w:t>Scope</w:t>
            </w:r>
          </w:p>
        </w:tc>
      </w:tr>
      <w:tr w:rsidR="003462F0" w:rsidRPr="00AB59E6" w:rsidTr="003462F0">
        <w:tc>
          <w:tcPr>
            <w:tcW w:w="1526" w:type="dxa"/>
          </w:tcPr>
          <w:p w:rsidR="003462F0" w:rsidRPr="00AB59E6" w:rsidRDefault="00C55F7F">
            <w:pPr>
              <w:rPr>
                <w:rFonts w:ascii="Arial" w:hAnsi="Arial" w:cs="Arial"/>
              </w:rPr>
            </w:pPr>
            <w:r w:rsidRPr="00AB59E6">
              <w:rPr>
                <w:rFonts w:ascii="Arial" w:hAnsi="Arial" w:cs="Arial"/>
              </w:rPr>
              <w:t>3</w:t>
            </w:r>
          </w:p>
        </w:tc>
        <w:tc>
          <w:tcPr>
            <w:tcW w:w="1134" w:type="dxa"/>
          </w:tcPr>
          <w:p w:rsidR="003462F0" w:rsidRPr="00AB59E6" w:rsidRDefault="00C55F7F">
            <w:pPr>
              <w:rPr>
                <w:rFonts w:ascii="Arial" w:hAnsi="Arial" w:cs="Arial"/>
              </w:rPr>
            </w:pPr>
            <w:r w:rsidRPr="00AB59E6">
              <w:rPr>
                <w:rFonts w:ascii="Arial" w:hAnsi="Arial" w:cs="Arial"/>
              </w:rPr>
              <w:t>3</w:t>
            </w:r>
          </w:p>
          <w:p w:rsidR="00C55F7F" w:rsidRPr="00AB59E6" w:rsidRDefault="00C55F7F">
            <w:pPr>
              <w:rPr>
                <w:rFonts w:ascii="Arial" w:hAnsi="Arial" w:cs="Arial"/>
              </w:rPr>
            </w:pPr>
            <w:r w:rsidRPr="00AB59E6">
              <w:rPr>
                <w:rFonts w:ascii="Arial" w:hAnsi="Arial" w:cs="Arial"/>
              </w:rPr>
              <w:t>4</w:t>
            </w:r>
          </w:p>
        </w:tc>
        <w:tc>
          <w:tcPr>
            <w:tcW w:w="6582" w:type="dxa"/>
          </w:tcPr>
          <w:p w:rsidR="003462F0" w:rsidRPr="00AB59E6" w:rsidRDefault="00C55F7F">
            <w:pPr>
              <w:rPr>
                <w:rFonts w:ascii="Arial" w:hAnsi="Arial" w:cs="Arial"/>
              </w:rPr>
            </w:pPr>
            <w:r w:rsidRPr="00AB59E6">
              <w:rPr>
                <w:rFonts w:ascii="Arial" w:hAnsi="Arial" w:cs="Arial"/>
              </w:rPr>
              <w:t>Joint induction</w:t>
            </w:r>
          </w:p>
          <w:p w:rsidR="00C55F7F" w:rsidRPr="00AB59E6" w:rsidRDefault="00C55F7F" w:rsidP="00C55F7F">
            <w:pPr>
              <w:rPr>
                <w:rFonts w:ascii="Arial" w:hAnsi="Arial" w:cs="Arial"/>
              </w:rPr>
            </w:pPr>
            <w:r w:rsidRPr="00AB59E6">
              <w:rPr>
                <w:rFonts w:ascii="Arial" w:hAnsi="Arial" w:cs="Arial"/>
                <w:bCs/>
              </w:rPr>
              <w:t>Preparing for Joint Appraisal to Ensure Re-Validation Requirements are Met</w:t>
            </w:r>
          </w:p>
        </w:tc>
      </w:tr>
      <w:tr w:rsidR="003462F0" w:rsidRPr="00AB59E6" w:rsidTr="003462F0">
        <w:tc>
          <w:tcPr>
            <w:tcW w:w="1526" w:type="dxa"/>
          </w:tcPr>
          <w:p w:rsidR="003462F0" w:rsidRPr="00AB59E6" w:rsidRDefault="00C55F7F">
            <w:pPr>
              <w:rPr>
                <w:rFonts w:ascii="Arial" w:hAnsi="Arial" w:cs="Arial"/>
              </w:rPr>
            </w:pPr>
            <w:r w:rsidRPr="00AB59E6">
              <w:rPr>
                <w:rFonts w:ascii="Arial" w:hAnsi="Arial" w:cs="Arial"/>
              </w:rPr>
              <w:t>4</w:t>
            </w:r>
          </w:p>
        </w:tc>
        <w:tc>
          <w:tcPr>
            <w:tcW w:w="1134" w:type="dxa"/>
          </w:tcPr>
          <w:p w:rsidR="003462F0" w:rsidRPr="00AB59E6" w:rsidRDefault="00C55F7F">
            <w:pPr>
              <w:rPr>
                <w:rFonts w:ascii="Arial" w:hAnsi="Arial" w:cs="Arial"/>
              </w:rPr>
            </w:pPr>
            <w:r w:rsidRPr="00AB59E6">
              <w:rPr>
                <w:rFonts w:ascii="Arial" w:hAnsi="Arial" w:cs="Arial"/>
              </w:rPr>
              <w:t>5</w:t>
            </w:r>
          </w:p>
        </w:tc>
        <w:tc>
          <w:tcPr>
            <w:tcW w:w="6582" w:type="dxa"/>
          </w:tcPr>
          <w:p w:rsidR="003462F0" w:rsidRPr="00AB59E6" w:rsidRDefault="00C55F7F">
            <w:pPr>
              <w:rPr>
                <w:rFonts w:ascii="Arial" w:hAnsi="Arial" w:cs="Arial"/>
              </w:rPr>
            </w:pPr>
            <w:r w:rsidRPr="00AB59E6">
              <w:rPr>
                <w:rFonts w:ascii="Arial" w:hAnsi="Arial" w:cs="Arial"/>
              </w:rPr>
              <w:t>Who undertakes appraisal</w:t>
            </w:r>
            <w:r w:rsidR="00950A7A">
              <w:rPr>
                <w:rFonts w:ascii="Arial" w:hAnsi="Arial" w:cs="Arial"/>
              </w:rPr>
              <w:t xml:space="preserve"> and when</w:t>
            </w:r>
            <w:r w:rsidRPr="00AB59E6">
              <w:rPr>
                <w:rFonts w:ascii="Arial" w:hAnsi="Arial" w:cs="Arial"/>
              </w:rPr>
              <w:t xml:space="preserve">? </w:t>
            </w:r>
          </w:p>
        </w:tc>
      </w:tr>
      <w:tr w:rsidR="003462F0" w:rsidRPr="00AB59E6" w:rsidTr="003462F0">
        <w:tc>
          <w:tcPr>
            <w:tcW w:w="1526" w:type="dxa"/>
          </w:tcPr>
          <w:p w:rsidR="003462F0" w:rsidRPr="00AB59E6" w:rsidRDefault="00C55F7F">
            <w:pPr>
              <w:rPr>
                <w:rFonts w:ascii="Arial" w:hAnsi="Arial" w:cs="Arial"/>
              </w:rPr>
            </w:pPr>
            <w:r w:rsidRPr="00AB59E6">
              <w:rPr>
                <w:rFonts w:ascii="Arial" w:hAnsi="Arial" w:cs="Arial"/>
              </w:rPr>
              <w:t>5</w:t>
            </w:r>
          </w:p>
        </w:tc>
        <w:tc>
          <w:tcPr>
            <w:tcW w:w="1134" w:type="dxa"/>
          </w:tcPr>
          <w:p w:rsidR="003462F0" w:rsidRPr="00AB59E6" w:rsidRDefault="00C55F7F">
            <w:pPr>
              <w:rPr>
                <w:rFonts w:ascii="Arial" w:hAnsi="Arial" w:cs="Arial"/>
              </w:rPr>
            </w:pPr>
            <w:r w:rsidRPr="00AB59E6">
              <w:rPr>
                <w:rFonts w:ascii="Arial" w:hAnsi="Arial" w:cs="Arial"/>
              </w:rPr>
              <w:t>6</w:t>
            </w:r>
          </w:p>
        </w:tc>
        <w:tc>
          <w:tcPr>
            <w:tcW w:w="6582" w:type="dxa"/>
          </w:tcPr>
          <w:p w:rsidR="003462F0" w:rsidRPr="00AB59E6" w:rsidRDefault="00C55F7F">
            <w:pPr>
              <w:rPr>
                <w:rFonts w:ascii="Arial" w:hAnsi="Arial" w:cs="Arial"/>
              </w:rPr>
            </w:pPr>
            <w:r w:rsidRPr="00AB59E6">
              <w:rPr>
                <w:rFonts w:ascii="Arial" w:hAnsi="Arial" w:cs="Arial"/>
              </w:rPr>
              <w:t>Peer review</w:t>
            </w:r>
          </w:p>
        </w:tc>
      </w:tr>
      <w:tr w:rsidR="003462F0" w:rsidRPr="00AB59E6" w:rsidTr="003462F0">
        <w:tc>
          <w:tcPr>
            <w:tcW w:w="1526" w:type="dxa"/>
          </w:tcPr>
          <w:p w:rsidR="003462F0" w:rsidRPr="00AB59E6" w:rsidRDefault="00C55F7F">
            <w:pPr>
              <w:rPr>
                <w:rFonts w:ascii="Arial" w:hAnsi="Arial" w:cs="Arial"/>
              </w:rPr>
            </w:pPr>
            <w:r w:rsidRPr="00AB59E6">
              <w:rPr>
                <w:rFonts w:ascii="Arial" w:hAnsi="Arial" w:cs="Arial"/>
              </w:rPr>
              <w:t>6</w:t>
            </w:r>
          </w:p>
        </w:tc>
        <w:tc>
          <w:tcPr>
            <w:tcW w:w="1134" w:type="dxa"/>
          </w:tcPr>
          <w:p w:rsidR="003462F0" w:rsidRPr="00AB59E6" w:rsidRDefault="00C55F7F">
            <w:pPr>
              <w:rPr>
                <w:rFonts w:ascii="Arial" w:hAnsi="Arial" w:cs="Arial"/>
              </w:rPr>
            </w:pPr>
            <w:r w:rsidRPr="00AB59E6">
              <w:rPr>
                <w:rFonts w:ascii="Arial" w:hAnsi="Arial" w:cs="Arial"/>
              </w:rPr>
              <w:t>7</w:t>
            </w:r>
          </w:p>
          <w:p w:rsidR="00C55F7F" w:rsidRPr="00AB59E6" w:rsidRDefault="00C55F7F">
            <w:pPr>
              <w:rPr>
                <w:rFonts w:ascii="Arial" w:hAnsi="Arial" w:cs="Arial"/>
              </w:rPr>
            </w:pPr>
            <w:r w:rsidRPr="00AB59E6">
              <w:rPr>
                <w:rFonts w:ascii="Arial" w:hAnsi="Arial" w:cs="Arial"/>
              </w:rPr>
              <w:t>8</w:t>
            </w:r>
          </w:p>
        </w:tc>
        <w:tc>
          <w:tcPr>
            <w:tcW w:w="6582" w:type="dxa"/>
          </w:tcPr>
          <w:p w:rsidR="003462F0" w:rsidRPr="00AB59E6" w:rsidRDefault="00C55F7F">
            <w:pPr>
              <w:rPr>
                <w:rFonts w:ascii="Arial" w:hAnsi="Arial" w:cs="Arial"/>
              </w:rPr>
            </w:pPr>
            <w:r w:rsidRPr="00AB59E6">
              <w:rPr>
                <w:rFonts w:ascii="Arial" w:hAnsi="Arial" w:cs="Arial"/>
              </w:rPr>
              <w:t>The appraisal meeting</w:t>
            </w:r>
          </w:p>
          <w:p w:rsidR="00C55F7F" w:rsidRPr="00AB59E6" w:rsidRDefault="00C55F7F">
            <w:pPr>
              <w:rPr>
                <w:rFonts w:ascii="Arial" w:hAnsi="Arial" w:cs="Arial"/>
              </w:rPr>
            </w:pPr>
            <w:r w:rsidRPr="00AB59E6">
              <w:rPr>
                <w:rFonts w:ascii="Arial" w:hAnsi="Arial" w:cs="Arial"/>
              </w:rPr>
              <w:t>Responsible officers</w:t>
            </w:r>
          </w:p>
        </w:tc>
      </w:tr>
      <w:tr w:rsidR="003462F0" w:rsidRPr="00AB59E6" w:rsidTr="003462F0">
        <w:tc>
          <w:tcPr>
            <w:tcW w:w="1526" w:type="dxa"/>
          </w:tcPr>
          <w:p w:rsidR="003462F0" w:rsidRPr="00AB59E6" w:rsidRDefault="00C55F7F">
            <w:pPr>
              <w:rPr>
                <w:rFonts w:ascii="Arial" w:hAnsi="Arial" w:cs="Arial"/>
              </w:rPr>
            </w:pPr>
            <w:r w:rsidRPr="00AB59E6">
              <w:rPr>
                <w:rFonts w:ascii="Arial" w:hAnsi="Arial" w:cs="Arial"/>
              </w:rPr>
              <w:t>7</w:t>
            </w:r>
          </w:p>
        </w:tc>
        <w:tc>
          <w:tcPr>
            <w:tcW w:w="1134" w:type="dxa"/>
          </w:tcPr>
          <w:p w:rsidR="003462F0" w:rsidRPr="00AB59E6" w:rsidRDefault="00C55F7F">
            <w:pPr>
              <w:rPr>
                <w:rFonts w:ascii="Arial" w:hAnsi="Arial" w:cs="Arial"/>
              </w:rPr>
            </w:pPr>
            <w:r w:rsidRPr="00AB59E6">
              <w:rPr>
                <w:rFonts w:ascii="Arial" w:hAnsi="Arial" w:cs="Arial"/>
              </w:rPr>
              <w:t>9</w:t>
            </w:r>
          </w:p>
          <w:p w:rsidR="00C55F7F" w:rsidRPr="00AB59E6" w:rsidRDefault="00C55F7F">
            <w:pPr>
              <w:rPr>
                <w:rFonts w:ascii="Arial" w:hAnsi="Arial" w:cs="Arial"/>
              </w:rPr>
            </w:pPr>
            <w:r w:rsidRPr="00AB59E6">
              <w:rPr>
                <w:rFonts w:ascii="Arial" w:hAnsi="Arial" w:cs="Arial"/>
              </w:rPr>
              <w:t>10</w:t>
            </w:r>
          </w:p>
        </w:tc>
        <w:tc>
          <w:tcPr>
            <w:tcW w:w="6582" w:type="dxa"/>
          </w:tcPr>
          <w:p w:rsidR="003462F0" w:rsidRPr="00AB59E6" w:rsidRDefault="00C55F7F">
            <w:pPr>
              <w:rPr>
                <w:rFonts w:ascii="Arial" w:hAnsi="Arial" w:cs="Arial"/>
              </w:rPr>
            </w:pPr>
            <w:r w:rsidRPr="00AB59E6">
              <w:rPr>
                <w:rFonts w:ascii="Arial" w:hAnsi="Arial" w:cs="Arial"/>
              </w:rPr>
              <w:t>Job plan</w:t>
            </w:r>
          </w:p>
          <w:p w:rsidR="00C55F7F" w:rsidRPr="00AB59E6" w:rsidRDefault="00C55F7F">
            <w:pPr>
              <w:rPr>
                <w:rFonts w:ascii="Arial" w:hAnsi="Arial" w:cs="Arial"/>
              </w:rPr>
            </w:pPr>
            <w:r w:rsidRPr="00AB59E6">
              <w:rPr>
                <w:rFonts w:ascii="Arial" w:hAnsi="Arial" w:cs="Arial"/>
              </w:rPr>
              <w:t>Outcomes of appraisal</w:t>
            </w:r>
          </w:p>
        </w:tc>
      </w:tr>
      <w:tr w:rsidR="003462F0" w:rsidRPr="00AB59E6" w:rsidTr="003462F0">
        <w:tc>
          <w:tcPr>
            <w:tcW w:w="1526" w:type="dxa"/>
          </w:tcPr>
          <w:p w:rsidR="003462F0" w:rsidRPr="00AB59E6" w:rsidRDefault="00C55F7F">
            <w:pPr>
              <w:rPr>
                <w:rFonts w:ascii="Arial" w:hAnsi="Arial" w:cs="Arial"/>
              </w:rPr>
            </w:pPr>
            <w:r w:rsidRPr="00AB59E6">
              <w:rPr>
                <w:rFonts w:ascii="Arial" w:hAnsi="Arial" w:cs="Arial"/>
              </w:rPr>
              <w:t>8</w:t>
            </w:r>
          </w:p>
        </w:tc>
        <w:tc>
          <w:tcPr>
            <w:tcW w:w="1134" w:type="dxa"/>
          </w:tcPr>
          <w:p w:rsidR="003462F0" w:rsidRPr="00AB59E6" w:rsidRDefault="00C55F7F">
            <w:pPr>
              <w:rPr>
                <w:rFonts w:ascii="Arial" w:hAnsi="Arial" w:cs="Arial"/>
              </w:rPr>
            </w:pPr>
            <w:r w:rsidRPr="00AB59E6">
              <w:rPr>
                <w:rFonts w:ascii="Arial" w:hAnsi="Arial" w:cs="Arial"/>
              </w:rPr>
              <w:t>11</w:t>
            </w:r>
          </w:p>
          <w:p w:rsidR="005D33A6" w:rsidRPr="00AB59E6" w:rsidRDefault="005D33A6">
            <w:pPr>
              <w:rPr>
                <w:rFonts w:ascii="Arial" w:hAnsi="Arial" w:cs="Arial"/>
              </w:rPr>
            </w:pPr>
          </w:p>
        </w:tc>
        <w:tc>
          <w:tcPr>
            <w:tcW w:w="6582" w:type="dxa"/>
          </w:tcPr>
          <w:p w:rsidR="003462F0" w:rsidRPr="00AB59E6" w:rsidRDefault="00C55F7F">
            <w:pPr>
              <w:rPr>
                <w:rFonts w:ascii="Arial" w:hAnsi="Arial" w:cs="Arial"/>
              </w:rPr>
            </w:pPr>
            <w:r w:rsidRPr="00AB59E6">
              <w:rPr>
                <w:rFonts w:ascii="Arial" w:hAnsi="Arial" w:cs="Arial"/>
              </w:rPr>
              <w:t>Return of appraisal documentation</w:t>
            </w:r>
          </w:p>
          <w:p w:rsidR="005D33A6" w:rsidRPr="00AB59E6" w:rsidRDefault="005D33A6">
            <w:pPr>
              <w:rPr>
                <w:rFonts w:ascii="Arial" w:hAnsi="Arial" w:cs="Arial"/>
              </w:rPr>
            </w:pPr>
          </w:p>
        </w:tc>
      </w:tr>
    </w:tbl>
    <w:p w:rsidR="003462F0" w:rsidRPr="00AB59E6" w:rsidRDefault="003462F0">
      <w:pPr>
        <w:rPr>
          <w:rFonts w:ascii="Arial" w:hAnsi="Arial" w:cs="Arial"/>
          <w:b/>
        </w:rPr>
      </w:pPr>
      <w:r w:rsidRPr="00AB59E6">
        <w:rPr>
          <w:rFonts w:ascii="Arial" w:hAnsi="Arial" w:cs="Arial"/>
          <w:b/>
        </w:rPr>
        <w:br w:type="page"/>
      </w:r>
    </w:p>
    <w:p w:rsidR="003F0F9C" w:rsidRPr="00AB59E6" w:rsidRDefault="00DB1EEA" w:rsidP="003F0F9C">
      <w:pPr>
        <w:pStyle w:val="Heading1"/>
        <w:numPr>
          <w:ilvl w:val="0"/>
          <w:numId w:val="17"/>
        </w:numPr>
        <w:rPr>
          <w:rFonts w:cs="Arial"/>
        </w:rPr>
      </w:pPr>
      <w:r w:rsidRPr="00AB59E6">
        <w:rPr>
          <w:rFonts w:cs="Arial"/>
        </w:rPr>
        <w:lastRenderedPageBreak/>
        <w:t>Purpose</w:t>
      </w:r>
    </w:p>
    <w:p w:rsidR="003F0F9C" w:rsidRPr="00AB59E6" w:rsidRDefault="003F0F9C" w:rsidP="003F0F9C">
      <w:pPr>
        <w:rPr>
          <w:rFonts w:ascii="Arial" w:hAnsi="Arial" w:cs="Arial"/>
        </w:rPr>
      </w:pPr>
    </w:p>
    <w:p w:rsidR="003F0F9C" w:rsidRPr="00AB59E6" w:rsidRDefault="003F0F9C" w:rsidP="003F0F9C">
      <w:pPr>
        <w:pStyle w:val="ListParagraph"/>
        <w:numPr>
          <w:ilvl w:val="1"/>
          <w:numId w:val="17"/>
        </w:numPr>
        <w:spacing w:line="240" w:lineRule="auto"/>
        <w:rPr>
          <w:rFonts w:ascii="Arial" w:hAnsi="Arial" w:cs="Arial"/>
        </w:rPr>
      </w:pPr>
      <w:r w:rsidRPr="00AB59E6">
        <w:rPr>
          <w:rFonts w:ascii="Arial" w:hAnsi="Arial" w:cs="Arial"/>
        </w:rPr>
        <w:t>The purpose of joint appraisal for clinical academics is to:</w:t>
      </w:r>
    </w:p>
    <w:p w:rsidR="003F0F9C" w:rsidRPr="00AB59E6" w:rsidRDefault="003F0F9C" w:rsidP="003F0F9C">
      <w:pPr>
        <w:numPr>
          <w:ilvl w:val="0"/>
          <w:numId w:val="18"/>
        </w:numPr>
        <w:spacing w:after="0" w:line="240" w:lineRule="auto"/>
        <w:rPr>
          <w:rFonts w:ascii="Arial" w:hAnsi="Arial" w:cs="Arial"/>
        </w:rPr>
      </w:pPr>
      <w:r w:rsidRPr="00AB59E6">
        <w:rPr>
          <w:rFonts w:ascii="Arial" w:hAnsi="Arial" w:cs="Arial"/>
        </w:rPr>
        <w:t>consider the totality of one individual’s job;</w:t>
      </w:r>
    </w:p>
    <w:p w:rsidR="003F0F9C" w:rsidRPr="00AB59E6" w:rsidRDefault="003F0F9C" w:rsidP="003F0F9C">
      <w:pPr>
        <w:numPr>
          <w:ilvl w:val="0"/>
          <w:numId w:val="18"/>
        </w:numPr>
        <w:spacing w:after="0" w:line="240" w:lineRule="auto"/>
        <w:rPr>
          <w:rFonts w:ascii="Arial" w:hAnsi="Arial" w:cs="Arial"/>
        </w:rPr>
      </w:pPr>
      <w:r w:rsidRPr="00AB59E6">
        <w:rPr>
          <w:rFonts w:ascii="Arial" w:hAnsi="Arial" w:cs="Arial"/>
        </w:rPr>
        <w:t xml:space="preserve">facilitate a balance in the individual’s work programme, allowing the NHS to see the needs of the academic side and </w:t>
      </w:r>
      <w:r w:rsidRPr="00AB59E6">
        <w:rPr>
          <w:rFonts w:ascii="Arial" w:hAnsi="Arial" w:cs="Arial"/>
          <w:i/>
          <w:iCs/>
        </w:rPr>
        <w:t>vice versa;</w:t>
      </w:r>
    </w:p>
    <w:p w:rsidR="003F0F9C" w:rsidRPr="00AB59E6" w:rsidRDefault="003F0F9C" w:rsidP="003F0F9C">
      <w:pPr>
        <w:numPr>
          <w:ilvl w:val="0"/>
          <w:numId w:val="18"/>
        </w:numPr>
        <w:spacing w:after="0" w:line="240" w:lineRule="auto"/>
        <w:rPr>
          <w:rFonts w:ascii="Arial" w:hAnsi="Arial" w:cs="Arial"/>
        </w:rPr>
      </w:pPr>
      <w:r w:rsidRPr="00AB59E6">
        <w:rPr>
          <w:rFonts w:ascii="Arial" w:hAnsi="Arial" w:cs="Arial"/>
        </w:rPr>
        <w:t>contribute to an acknowledgement of the specialist role of clinical academic staff in the NHS;</w:t>
      </w:r>
    </w:p>
    <w:p w:rsidR="003F0F9C" w:rsidRPr="00AB59E6" w:rsidRDefault="003F0F9C" w:rsidP="003F0F9C">
      <w:pPr>
        <w:numPr>
          <w:ilvl w:val="0"/>
          <w:numId w:val="18"/>
        </w:numPr>
        <w:spacing w:after="0" w:line="240" w:lineRule="auto"/>
        <w:rPr>
          <w:rFonts w:ascii="Arial" w:hAnsi="Arial" w:cs="Arial"/>
        </w:rPr>
      </w:pPr>
      <w:r w:rsidRPr="00AB59E6">
        <w:rPr>
          <w:rFonts w:ascii="Arial" w:hAnsi="Arial" w:cs="Arial"/>
        </w:rPr>
        <w:t>provide a single source of appropriate documentation for revalidation;</w:t>
      </w:r>
    </w:p>
    <w:p w:rsidR="003F0F9C" w:rsidRPr="00AB59E6" w:rsidRDefault="003F0F9C" w:rsidP="003F0F9C">
      <w:pPr>
        <w:numPr>
          <w:ilvl w:val="0"/>
          <w:numId w:val="18"/>
        </w:numPr>
        <w:spacing w:after="0" w:line="240" w:lineRule="auto"/>
        <w:rPr>
          <w:rFonts w:ascii="Arial" w:hAnsi="Arial" w:cs="Arial"/>
        </w:rPr>
      </w:pPr>
      <w:r w:rsidRPr="00AB59E6">
        <w:rPr>
          <w:rFonts w:ascii="Arial" w:hAnsi="Arial" w:cs="Arial"/>
        </w:rPr>
        <w:t>ensure constructive resolution of problems;</w:t>
      </w:r>
    </w:p>
    <w:p w:rsidR="003F0F9C" w:rsidRPr="00AB59E6" w:rsidRDefault="003F0F9C" w:rsidP="003F0F9C">
      <w:pPr>
        <w:numPr>
          <w:ilvl w:val="0"/>
          <w:numId w:val="18"/>
        </w:numPr>
        <w:spacing w:after="0" w:line="240" w:lineRule="auto"/>
        <w:rPr>
          <w:rFonts w:ascii="Arial" w:hAnsi="Arial" w:cs="Arial"/>
          <w:b/>
        </w:rPr>
      </w:pPr>
      <w:r w:rsidRPr="00AB59E6">
        <w:rPr>
          <w:rFonts w:ascii="Arial" w:hAnsi="Arial" w:cs="Arial"/>
        </w:rPr>
        <w:t>not be as time-consuming as two separate appraisals; and</w:t>
      </w:r>
    </w:p>
    <w:p w:rsidR="003F0F9C" w:rsidRPr="00AB59E6" w:rsidRDefault="003F0F9C" w:rsidP="003F0F9C">
      <w:pPr>
        <w:numPr>
          <w:ilvl w:val="0"/>
          <w:numId w:val="18"/>
        </w:numPr>
        <w:spacing w:after="0" w:line="240" w:lineRule="auto"/>
        <w:rPr>
          <w:rFonts w:ascii="Arial" w:hAnsi="Arial" w:cs="Arial"/>
          <w:b/>
        </w:rPr>
      </w:pPr>
      <w:r w:rsidRPr="00AB59E6">
        <w:rPr>
          <w:rFonts w:ascii="Arial" w:hAnsi="Arial" w:cs="Arial"/>
        </w:rPr>
        <w:t xml:space="preserve">to prevent an </w:t>
      </w:r>
      <w:proofErr w:type="spellStart"/>
      <w:r w:rsidRPr="00AB59E6">
        <w:rPr>
          <w:rFonts w:ascii="Arial" w:hAnsi="Arial" w:cs="Arial"/>
        </w:rPr>
        <w:t>appraisee</w:t>
      </w:r>
      <w:proofErr w:type="spellEnd"/>
      <w:r w:rsidRPr="00AB59E6">
        <w:rPr>
          <w:rFonts w:ascii="Arial" w:hAnsi="Arial" w:cs="Arial"/>
        </w:rPr>
        <w:t xml:space="preserve"> playing one appraiser off against the other</w:t>
      </w:r>
    </w:p>
    <w:p w:rsidR="003F0F9C" w:rsidRPr="00AB59E6" w:rsidRDefault="003F0F9C" w:rsidP="003F0F9C">
      <w:pPr>
        <w:numPr>
          <w:ilvl w:val="0"/>
          <w:numId w:val="18"/>
        </w:numPr>
        <w:spacing w:after="0" w:line="240" w:lineRule="auto"/>
        <w:rPr>
          <w:rFonts w:ascii="Arial" w:hAnsi="Arial" w:cs="Arial"/>
          <w:b/>
        </w:rPr>
      </w:pPr>
      <w:r w:rsidRPr="00AB59E6">
        <w:rPr>
          <w:rFonts w:ascii="Arial" w:hAnsi="Arial" w:cs="Arial"/>
        </w:rPr>
        <w:t>to inform the clinical academics job plan – see separate procedures relating to this</w:t>
      </w:r>
    </w:p>
    <w:p w:rsidR="003F0F9C" w:rsidRPr="00AB59E6" w:rsidRDefault="003F0F9C" w:rsidP="003F0F9C">
      <w:pPr>
        <w:pStyle w:val="ListParagraph"/>
        <w:spacing w:line="240" w:lineRule="auto"/>
        <w:ind w:left="792"/>
        <w:rPr>
          <w:rFonts w:ascii="Arial" w:hAnsi="Arial" w:cs="Arial"/>
        </w:rPr>
      </w:pPr>
    </w:p>
    <w:p w:rsidR="003F0F9C" w:rsidRPr="00AB59E6" w:rsidRDefault="003F0F9C" w:rsidP="003F0F9C">
      <w:pPr>
        <w:pStyle w:val="ListParagraph"/>
        <w:numPr>
          <w:ilvl w:val="1"/>
          <w:numId w:val="17"/>
        </w:numPr>
        <w:spacing w:line="240" w:lineRule="auto"/>
        <w:rPr>
          <w:rFonts w:ascii="Arial" w:hAnsi="Arial" w:cs="Arial"/>
        </w:rPr>
      </w:pPr>
      <w:r w:rsidRPr="00AB59E6">
        <w:rPr>
          <w:rFonts w:ascii="Arial" w:hAnsi="Arial" w:cs="Arial"/>
        </w:rPr>
        <w:t>Advantages of the joint appraisal (other than those above) also include:</w:t>
      </w:r>
    </w:p>
    <w:p w:rsidR="003F0F9C" w:rsidRPr="00AB59E6" w:rsidRDefault="003F0F9C" w:rsidP="003F0F9C">
      <w:pPr>
        <w:pStyle w:val="ListParagraph"/>
        <w:spacing w:line="240" w:lineRule="auto"/>
        <w:ind w:left="792"/>
        <w:rPr>
          <w:rFonts w:ascii="Arial" w:hAnsi="Arial" w:cs="Arial"/>
        </w:rPr>
      </w:pPr>
    </w:p>
    <w:p w:rsidR="003F0F9C" w:rsidRPr="00AB59E6" w:rsidRDefault="003F0F9C" w:rsidP="003F0F9C">
      <w:pPr>
        <w:pStyle w:val="ListParagraph"/>
        <w:numPr>
          <w:ilvl w:val="0"/>
          <w:numId w:val="19"/>
        </w:numPr>
        <w:spacing w:line="240" w:lineRule="auto"/>
        <w:rPr>
          <w:rFonts w:ascii="Arial" w:hAnsi="Arial" w:cs="Arial"/>
        </w:rPr>
      </w:pPr>
      <w:r w:rsidRPr="00AB59E6">
        <w:rPr>
          <w:rFonts w:ascii="Arial" w:hAnsi="Arial" w:cs="Arial"/>
        </w:rPr>
        <w:t xml:space="preserve">an annual requirement for NHS and university managers to come together to review the totality of demands on their staff that will facilitate greater flexibility over time and bring into the open situations where unreasonable demands are being made on one individual </w:t>
      </w:r>
    </w:p>
    <w:p w:rsidR="003F0F9C" w:rsidRPr="00AB59E6" w:rsidRDefault="003F0F9C" w:rsidP="003F0F9C">
      <w:pPr>
        <w:pStyle w:val="ListParagraph"/>
        <w:numPr>
          <w:ilvl w:val="0"/>
          <w:numId w:val="19"/>
        </w:numPr>
        <w:spacing w:line="240" w:lineRule="auto"/>
        <w:rPr>
          <w:rFonts w:ascii="Arial" w:hAnsi="Arial" w:cs="Arial"/>
        </w:rPr>
      </w:pPr>
      <w:r w:rsidRPr="00AB59E6">
        <w:rPr>
          <w:rFonts w:ascii="Arial" w:hAnsi="Arial" w:cs="Arial"/>
        </w:rPr>
        <w:t>The information generated will feedback into joint strategic planning</w:t>
      </w:r>
    </w:p>
    <w:p w:rsidR="003F0F9C" w:rsidRPr="00AB59E6" w:rsidRDefault="003F0F9C" w:rsidP="003F0F9C">
      <w:pPr>
        <w:pStyle w:val="ListParagraph"/>
        <w:spacing w:line="240" w:lineRule="auto"/>
        <w:ind w:left="792"/>
        <w:rPr>
          <w:rFonts w:ascii="Arial" w:hAnsi="Arial" w:cs="Arial"/>
        </w:rPr>
      </w:pPr>
    </w:p>
    <w:p w:rsidR="003F0F9C" w:rsidRPr="00AB59E6" w:rsidRDefault="003F0F9C" w:rsidP="003F0F9C">
      <w:pPr>
        <w:pStyle w:val="ListParagraph"/>
        <w:numPr>
          <w:ilvl w:val="1"/>
          <w:numId w:val="17"/>
        </w:numPr>
        <w:spacing w:line="240" w:lineRule="auto"/>
        <w:rPr>
          <w:rFonts w:ascii="Arial" w:hAnsi="Arial" w:cs="Arial"/>
        </w:rPr>
      </w:pPr>
      <w:r w:rsidRPr="00AB59E6">
        <w:rPr>
          <w:rFonts w:ascii="Arial" w:hAnsi="Arial" w:cs="Arial"/>
        </w:rPr>
        <w:t xml:space="preserve">The </w:t>
      </w:r>
      <w:proofErr w:type="spellStart"/>
      <w:r w:rsidRPr="00AB59E6">
        <w:rPr>
          <w:rFonts w:ascii="Arial" w:hAnsi="Arial" w:cs="Arial"/>
        </w:rPr>
        <w:t>Follet</w:t>
      </w:r>
      <w:proofErr w:type="spellEnd"/>
      <w:r w:rsidRPr="00AB59E6">
        <w:rPr>
          <w:rFonts w:ascii="Arial" w:hAnsi="Arial" w:cs="Arial"/>
        </w:rPr>
        <w:t xml:space="preserve"> Report highlighted the fact that:</w:t>
      </w:r>
    </w:p>
    <w:p w:rsidR="003F0F9C" w:rsidRPr="00AB59E6" w:rsidRDefault="003F0F9C" w:rsidP="003F0F9C">
      <w:pPr>
        <w:spacing w:line="240" w:lineRule="auto"/>
        <w:jc w:val="both"/>
        <w:rPr>
          <w:rFonts w:ascii="Arial" w:hAnsi="Arial" w:cs="Arial"/>
          <w:i/>
        </w:rPr>
      </w:pPr>
      <w:r w:rsidRPr="00AB59E6">
        <w:rPr>
          <w:rFonts w:ascii="Arial" w:hAnsi="Arial" w:cs="Arial"/>
          <w:i/>
        </w:rPr>
        <w:t>Medical Education is no longer restricted to partnerships between a university and one or more teaching hospitals. In recent years there has been considerable development of partnerships and networks with other organisations, including health authorities and community and primary care organisations.</w:t>
      </w:r>
    </w:p>
    <w:p w:rsidR="003F0F9C" w:rsidRPr="00AB59E6" w:rsidRDefault="003F0F9C" w:rsidP="003F0F9C">
      <w:pPr>
        <w:spacing w:line="240" w:lineRule="auto"/>
        <w:jc w:val="both"/>
        <w:rPr>
          <w:rFonts w:ascii="Arial" w:hAnsi="Arial" w:cs="Arial"/>
        </w:rPr>
      </w:pPr>
      <w:r w:rsidRPr="00AB59E6">
        <w:rPr>
          <w:rFonts w:ascii="Arial" w:hAnsi="Arial" w:cs="Arial"/>
        </w:rPr>
        <w:t xml:space="preserve">In recognition of this, the generic terms NHS Trust/partners/body are used to include all such bodies throughout this procedure. </w:t>
      </w:r>
    </w:p>
    <w:p w:rsidR="003F0F9C" w:rsidRPr="00AB59E6" w:rsidRDefault="00B7759C" w:rsidP="003F0F9C">
      <w:pPr>
        <w:pStyle w:val="Heading1"/>
        <w:numPr>
          <w:ilvl w:val="0"/>
          <w:numId w:val="17"/>
        </w:numPr>
        <w:rPr>
          <w:rFonts w:cs="Arial"/>
        </w:rPr>
      </w:pPr>
      <w:r w:rsidRPr="00AB59E6">
        <w:rPr>
          <w:rFonts w:cs="Arial"/>
        </w:rPr>
        <w:t>Scope</w:t>
      </w:r>
    </w:p>
    <w:p w:rsidR="003F0F9C" w:rsidRPr="00AB59E6" w:rsidRDefault="003F0F9C" w:rsidP="003F0F9C">
      <w:pPr>
        <w:rPr>
          <w:rFonts w:ascii="Arial" w:hAnsi="Arial" w:cs="Arial"/>
        </w:rPr>
      </w:pPr>
    </w:p>
    <w:p w:rsidR="003F0F9C" w:rsidRPr="00AB59E6" w:rsidRDefault="003F0F9C" w:rsidP="003F0F9C">
      <w:pPr>
        <w:pStyle w:val="ListParagraph"/>
        <w:numPr>
          <w:ilvl w:val="1"/>
          <w:numId w:val="17"/>
        </w:numPr>
        <w:tabs>
          <w:tab w:val="left" w:pos="540"/>
        </w:tabs>
        <w:spacing w:line="240" w:lineRule="auto"/>
        <w:rPr>
          <w:rFonts w:ascii="Arial" w:hAnsi="Arial" w:cs="Arial"/>
        </w:rPr>
      </w:pPr>
      <w:r w:rsidRPr="00AB59E6">
        <w:rPr>
          <w:rFonts w:ascii="Arial" w:hAnsi="Arial" w:cs="Arial"/>
        </w:rPr>
        <w:t xml:space="preserve">The procedures apply to all University of Exeter clinical academic staff and NHS staff with significant University of Exeter duties that have resulted in an Honorary Contract being held by The University of Exeter. These procedures should be run in addition to joint induction and joint probation. </w:t>
      </w:r>
    </w:p>
    <w:p w:rsidR="003F0F9C" w:rsidRPr="00AB59E6" w:rsidRDefault="003F0F9C" w:rsidP="003F0F9C">
      <w:pPr>
        <w:pStyle w:val="ListParagraph"/>
        <w:tabs>
          <w:tab w:val="left" w:pos="540"/>
        </w:tabs>
        <w:spacing w:line="240" w:lineRule="auto"/>
        <w:ind w:left="792"/>
        <w:rPr>
          <w:rFonts w:ascii="Arial" w:hAnsi="Arial" w:cs="Arial"/>
        </w:rPr>
      </w:pPr>
    </w:p>
    <w:p w:rsidR="001F21AC" w:rsidRDefault="003F0F9C" w:rsidP="003F0F9C">
      <w:pPr>
        <w:pStyle w:val="ListParagraph"/>
        <w:numPr>
          <w:ilvl w:val="1"/>
          <w:numId w:val="17"/>
        </w:numPr>
        <w:tabs>
          <w:tab w:val="left" w:pos="540"/>
        </w:tabs>
        <w:spacing w:line="240" w:lineRule="auto"/>
        <w:rPr>
          <w:rFonts w:ascii="Arial" w:hAnsi="Arial" w:cs="Arial"/>
        </w:rPr>
      </w:pPr>
      <w:r w:rsidRPr="00AB59E6">
        <w:rPr>
          <w:rFonts w:ascii="Arial" w:hAnsi="Arial" w:cs="Arial"/>
        </w:rPr>
        <w:t>Clinical Academic Appraisal Definition</w:t>
      </w:r>
    </w:p>
    <w:p w:rsidR="001F21AC" w:rsidRPr="001F21AC" w:rsidRDefault="001F21AC" w:rsidP="001F21AC">
      <w:pPr>
        <w:pStyle w:val="ListParagraph"/>
        <w:rPr>
          <w:rFonts w:ascii="Arial" w:hAnsi="Arial" w:cs="Arial"/>
        </w:rPr>
      </w:pPr>
    </w:p>
    <w:p w:rsidR="001F21AC" w:rsidRPr="001F21AC" w:rsidRDefault="001F21AC" w:rsidP="001F21AC">
      <w:pPr>
        <w:pStyle w:val="ListParagraph"/>
        <w:tabs>
          <w:tab w:val="left" w:pos="540"/>
        </w:tabs>
        <w:ind w:left="792"/>
        <w:rPr>
          <w:rFonts w:ascii="Arial" w:hAnsi="Arial" w:cs="Arial"/>
          <w:i/>
        </w:rPr>
      </w:pPr>
      <w:proofErr w:type="gramStart"/>
      <w:r w:rsidRPr="001F21AC">
        <w:rPr>
          <w:rFonts w:ascii="Arial" w:hAnsi="Arial" w:cs="Arial"/>
          <w:i/>
        </w:rPr>
        <w:t>two</w:t>
      </w:r>
      <w:proofErr w:type="gramEnd"/>
      <w:r w:rsidRPr="001F21AC">
        <w:rPr>
          <w:rFonts w:ascii="Arial" w:hAnsi="Arial" w:cs="Arial"/>
          <w:i/>
        </w:rPr>
        <w:t xml:space="preserve"> appraisers working with one </w:t>
      </w:r>
      <w:proofErr w:type="spellStart"/>
      <w:r w:rsidRPr="001F21AC">
        <w:rPr>
          <w:rFonts w:ascii="Arial" w:hAnsi="Arial" w:cs="Arial"/>
          <w:i/>
        </w:rPr>
        <w:t>appraisee</w:t>
      </w:r>
      <w:proofErr w:type="spellEnd"/>
      <w:r w:rsidRPr="001F21AC">
        <w:rPr>
          <w:rFonts w:ascii="Arial" w:hAnsi="Arial" w:cs="Arial"/>
          <w:i/>
        </w:rPr>
        <w:t xml:space="preserve"> on a single occasion every year. The two appraisers will normally be the head of the relevant academic department and the clinical director of the relevant NHS clinical unit. In some cases the task may be delegated to other senior staff in the two organisations, but if so this should be on the basis that the appraisers have relevant experience of management and will report back to the current senior manager in the department or unit. Heads of institutes themselves will be appraised by the Dean of the Medical School and the Medical Director or equivalent of the NHS body; while the Dean of the Medical </w:t>
      </w:r>
      <w:r w:rsidRPr="001F21AC">
        <w:rPr>
          <w:rFonts w:ascii="Arial" w:hAnsi="Arial" w:cs="Arial"/>
          <w:i/>
        </w:rPr>
        <w:lastRenderedPageBreak/>
        <w:t xml:space="preserve">School will normally be </w:t>
      </w:r>
      <w:proofErr w:type="gramStart"/>
      <w:r w:rsidRPr="001F21AC">
        <w:rPr>
          <w:rFonts w:ascii="Arial" w:hAnsi="Arial" w:cs="Arial"/>
          <w:i/>
        </w:rPr>
        <w:t>appraised</w:t>
      </w:r>
      <w:proofErr w:type="gramEnd"/>
      <w:r w:rsidRPr="001F21AC">
        <w:rPr>
          <w:rFonts w:ascii="Arial" w:hAnsi="Arial" w:cs="Arial"/>
          <w:i/>
        </w:rPr>
        <w:t xml:space="preserve"> by the Deputy Vice-Chancellor and the NHS Chief Executive. </w:t>
      </w:r>
    </w:p>
    <w:p w:rsidR="001F21AC" w:rsidRDefault="001F21AC" w:rsidP="001F21AC">
      <w:pPr>
        <w:pStyle w:val="ListParagraph"/>
        <w:tabs>
          <w:tab w:val="left" w:pos="540"/>
        </w:tabs>
        <w:spacing w:line="240" w:lineRule="auto"/>
        <w:ind w:left="792"/>
        <w:rPr>
          <w:rFonts w:ascii="Arial" w:hAnsi="Arial" w:cs="Arial"/>
        </w:rPr>
      </w:pPr>
    </w:p>
    <w:p w:rsidR="001F21AC" w:rsidRPr="001F21AC" w:rsidRDefault="001F21AC" w:rsidP="001F21AC">
      <w:pPr>
        <w:pStyle w:val="ListParagraph"/>
        <w:rPr>
          <w:rFonts w:ascii="Arial" w:hAnsi="Arial" w:cs="Arial"/>
        </w:rPr>
      </w:pPr>
    </w:p>
    <w:p w:rsidR="001F21AC" w:rsidRPr="001F21AC" w:rsidRDefault="001F21AC" w:rsidP="003F0F9C">
      <w:pPr>
        <w:pStyle w:val="ListParagraph"/>
        <w:numPr>
          <w:ilvl w:val="1"/>
          <w:numId w:val="17"/>
        </w:numPr>
        <w:tabs>
          <w:tab w:val="left" w:pos="540"/>
        </w:tabs>
        <w:spacing w:line="240" w:lineRule="auto"/>
        <w:rPr>
          <w:rFonts w:ascii="Arial" w:hAnsi="Arial" w:cs="Arial"/>
        </w:rPr>
      </w:pPr>
      <w:r>
        <w:rPr>
          <w:rFonts w:ascii="Arial" w:hAnsi="Arial" w:cs="Arial"/>
        </w:rPr>
        <w:t xml:space="preserve">Where a person occupies more than one role (that requires a substantive and an honorary contract), a joint appraisal process will apply to each of the roles. </w:t>
      </w:r>
    </w:p>
    <w:p w:rsidR="003F0F9C" w:rsidRPr="00AB59E6" w:rsidRDefault="0057458B" w:rsidP="003F0F9C">
      <w:pPr>
        <w:pStyle w:val="Heading1"/>
        <w:numPr>
          <w:ilvl w:val="0"/>
          <w:numId w:val="17"/>
        </w:numPr>
        <w:rPr>
          <w:rFonts w:cs="Arial"/>
        </w:rPr>
      </w:pPr>
      <w:r w:rsidRPr="00AB59E6">
        <w:rPr>
          <w:rFonts w:cs="Arial"/>
        </w:rPr>
        <w:t>Joint I</w:t>
      </w:r>
      <w:r w:rsidR="00EE71A1" w:rsidRPr="00AB59E6">
        <w:rPr>
          <w:rFonts w:cs="Arial"/>
        </w:rPr>
        <w:t xml:space="preserve">nduction </w:t>
      </w:r>
    </w:p>
    <w:p w:rsidR="003F0F9C" w:rsidRPr="00AB59E6" w:rsidRDefault="003F0F9C" w:rsidP="003F0F9C">
      <w:pPr>
        <w:rPr>
          <w:rFonts w:ascii="Arial" w:hAnsi="Arial" w:cs="Arial"/>
        </w:rPr>
      </w:pPr>
    </w:p>
    <w:p w:rsidR="003F0F9C" w:rsidRPr="00AB59E6" w:rsidRDefault="003F0F9C" w:rsidP="003F0F9C">
      <w:pPr>
        <w:pStyle w:val="ListParagraph"/>
        <w:numPr>
          <w:ilvl w:val="1"/>
          <w:numId w:val="17"/>
        </w:numPr>
        <w:spacing w:line="240" w:lineRule="auto"/>
        <w:rPr>
          <w:rFonts w:ascii="Arial" w:hAnsi="Arial" w:cs="Arial"/>
        </w:rPr>
      </w:pPr>
      <w:r w:rsidRPr="00AB59E6">
        <w:rPr>
          <w:rFonts w:ascii="Arial" w:hAnsi="Arial" w:cs="Arial"/>
        </w:rPr>
        <w:t>Prior to joint appraisal, joint induction should be carried out by managers who will become joint appraisers (at least one must be on the medical register). Appraisers will usually be the Dean of the Medical School and the appropriate Clinical Director (or equivalent). Ple</w:t>
      </w:r>
      <w:r w:rsidR="00FE1157">
        <w:rPr>
          <w:rFonts w:ascii="Arial" w:hAnsi="Arial" w:cs="Arial"/>
        </w:rPr>
        <w:t>ase find guidance on typical</w:t>
      </w:r>
      <w:r w:rsidRPr="00AB59E6">
        <w:rPr>
          <w:rFonts w:ascii="Arial" w:hAnsi="Arial" w:cs="Arial"/>
        </w:rPr>
        <w:t xml:space="preserve"> University of Exeter induction processes here: </w:t>
      </w:r>
      <w:hyperlink r:id="rId9" w:history="1">
        <w:r w:rsidRPr="00AB59E6">
          <w:rPr>
            <w:rStyle w:val="Hyperlink"/>
            <w:rFonts w:ascii="Arial" w:hAnsi="Arial" w:cs="Arial"/>
          </w:rPr>
          <w:t>http://www.exeter.ac.uk/induction/</w:t>
        </w:r>
      </w:hyperlink>
    </w:p>
    <w:p w:rsidR="003F0F9C" w:rsidRPr="00AB59E6" w:rsidRDefault="003F0F9C" w:rsidP="003F0F9C">
      <w:pPr>
        <w:pStyle w:val="ListParagraph"/>
        <w:spacing w:line="240" w:lineRule="auto"/>
        <w:ind w:left="792"/>
        <w:rPr>
          <w:rFonts w:ascii="Arial" w:hAnsi="Arial" w:cs="Arial"/>
        </w:rPr>
      </w:pPr>
    </w:p>
    <w:p w:rsidR="003F0F9C" w:rsidRPr="00AB59E6" w:rsidRDefault="003F0F9C" w:rsidP="003F0F9C">
      <w:pPr>
        <w:pStyle w:val="ListParagraph"/>
        <w:numPr>
          <w:ilvl w:val="1"/>
          <w:numId w:val="17"/>
        </w:numPr>
        <w:spacing w:line="240" w:lineRule="auto"/>
        <w:rPr>
          <w:rFonts w:ascii="Arial" w:hAnsi="Arial" w:cs="Arial"/>
        </w:rPr>
      </w:pPr>
      <w:r w:rsidRPr="00AB59E6">
        <w:rPr>
          <w:rFonts w:ascii="Arial" w:hAnsi="Arial" w:cs="Arial"/>
        </w:rPr>
        <w:t>The purpose of the joint induction will be to ensure that the new member of staff has a clear understanding of the duties that both The University of Exeter and the NHS body require; in addition to the separate reporting arrangements, thus ensuring that questions of balance in the workload are addressed from the beginning of the tenure of the post. Joint induction will also ensure that the implications of the appointment for both parties are actually delivered, especially as far as provision of resources is concerned.</w:t>
      </w:r>
    </w:p>
    <w:p w:rsidR="003F0F9C" w:rsidRPr="00AB59E6" w:rsidRDefault="003F0F9C" w:rsidP="003F0F9C">
      <w:pPr>
        <w:pStyle w:val="ListParagraph"/>
        <w:rPr>
          <w:rFonts w:ascii="Arial" w:hAnsi="Arial" w:cs="Arial"/>
        </w:rPr>
      </w:pPr>
    </w:p>
    <w:p w:rsidR="003F0F9C" w:rsidRPr="00AB59E6" w:rsidRDefault="003F0F9C" w:rsidP="003F0F9C">
      <w:pPr>
        <w:pStyle w:val="ListParagraph"/>
        <w:numPr>
          <w:ilvl w:val="1"/>
          <w:numId w:val="17"/>
        </w:numPr>
        <w:spacing w:line="240" w:lineRule="auto"/>
        <w:rPr>
          <w:rFonts w:ascii="Arial" w:hAnsi="Arial" w:cs="Arial"/>
        </w:rPr>
      </w:pPr>
      <w:r w:rsidRPr="00AB59E6">
        <w:rPr>
          <w:rFonts w:ascii="Arial" w:hAnsi="Arial" w:cs="Arial"/>
        </w:rPr>
        <w:t xml:space="preserve">Time should be allowed within the individuals’ job plan to accommodate the requirements of joint appraisal. </w:t>
      </w:r>
    </w:p>
    <w:p w:rsidR="003F0F9C" w:rsidRPr="00AB59E6" w:rsidRDefault="0057458B" w:rsidP="003F0F9C">
      <w:pPr>
        <w:pStyle w:val="Heading1"/>
        <w:numPr>
          <w:ilvl w:val="0"/>
          <w:numId w:val="17"/>
        </w:numPr>
        <w:rPr>
          <w:rFonts w:cs="Arial"/>
        </w:rPr>
      </w:pPr>
      <w:r w:rsidRPr="00AB59E6">
        <w:rPr>
          <w:rFonts w:cs="Arial"/>
        </w:rPr>
        <w:t>Preparing for Joint Appraisal</w:t>
      </w:r>
      <w:r w:rsidR="005B05F0" w:rsidRPr="00AB59E6">
        <w:rPr>
          <w:rFonts w:cs="Arial"/>
        </w:rPr>
        <w:t xml:space="preserve"> to Ensure Re-Validation Requirements are Met</w:t>
      </w:r>
    </w:p>
    <w:p w:rsidR="003F0F9C" w:rsidRPr="00AB59E6" w:rsidRDefault="003F0F9C" w:rsidP="003F0F9C">
      <w:pPr>
        <w:rPr>
          <w:rFonts w:ascii="Arial" w:hAnsi="Arial" w:cs="Arial"/>
        </w:rPr>
      </w:pPr>
    </w:p>
    <w:p w:rsidR="003F0F9C" w:rsidRPr="00AB59E6" w:rsidRDefault="003F0F9C" w:rsidP="003F0F9C">
      <w:pPr>
        <w:pStyle w:val="ListParagraph"/>
        <w:numPr>
          <w:ilvl w:val="1"/>
          <w:numId w:val="17"/>
        </w:numPr>
        <w:spacing w:line="240" w:lineRule="auto"/>
        <w:rPr>
          <w:rFonts w:ascii="Arial" w:hAnsi="Arial" w:cs="Arial"/>
        </w:rPr>
      </w:pPr>
      <w:r w:rsidRPr="00AB59E6">
        <w:rPr>
          <w:rFonts w:ascii="Arial" w:hAnsi="Arial" w:cs="Arial"/>
        </w:rPr>
        <w:t xml:space="preserve">Good preparation by both the </w:t>
      </w:r>
      <w:proofErr w:type="spellStart"/>
      <w:r w:rsidRPr="00AB59E6">
        <w:rPr>
          <w:rFonts w:ascii="Arial" w:hAnsi="Arial" w:cs="Arial"/>
        </w:rPr>
        <w:t>appraisee</w:t>
      </w:r>
      <w:proofErr w:type="spellEnd"/>
      <w:r w:rsidRPr="00AB59E6">
        <w:rPr>
          <w:rFonts w:ascii="Arial" w:hAnsi="Arial" w:cs="Arial"/>
        </w:rPr>
        <w:t xml:space="preserve"> and appraisers prior to the appraisal meeting itself is one of the important factors which ensure that the benefits of appraisal are realised.</w:t>
      </w:r>
    </w:p>
    <w:p w:rsidR="003F0F9C" w:rsidRPr="00AB59E6" w:rsidRDefault="003F0F9C" w:rsidP="003F0F9C">
      <w:pPr>
        <w:pStyle w:val="ListParagraph"/>
        <w:spacing w:line="240" w:lineRule="auto"/>
        <w:ind w:left="792"/>
        <w:rPr>
          <w:rFonts w:ascii="Arial" w:hAnsi="Arial" w:cs="Arial"/>
        </w:rPr>
      </w:pPr>
    </w:p>
    <w:p w:rsidR="003F0F9C" w:rsidRDefault="003F0F9C" w:rsidP="003F0F9C">
      <w:pPr>
        <w:pStyle w:val="ListParagraph"/>
        <w:numPr>
          <w:ilvl w:val="1"/>
          <w:numId w:val="17"/>
        </w:numPr>
        <w:spacing w:line="240" w:lineRule="auto"/>
        <w:rPr>
          <w:rFonts w:ascii="Arial" w:hAnsi="Arial" w:cs="Arial"/>
        </w:rPr>
      </w:pPr>
      <w:r w:rsidRPr="00AB59E6">
        <w:rPr>
          <w:rFonts w:ascii="Arial" w:hAnsi="Arial" w:cs="Arial"/>
        </w:rPr>
        <w:t xml:space="preserve">Planning of the joint appraisal should include consideration of documents that will be needed, meeting conduct, careful recording to ensure that an adequate report is produced following the appraisal and can be used for re-validation. For re-validation all doctors are required by the General Medical Council (GMC) to demonstrate regularly their fitness to practise medicine in their chosen fields in order to remain on the specialist register. Revalidation requires the provision of information and auditing – resulting in a summative judgement made about a doctors practice over a five year period informed by appraisal. </w:t>
      </w:r>
    </w:p>
    <w:p w:rsidR="00BB118E" w:rsidRPr="00BB118E" w:rsidRDefault="00BB118E" w:rsidP="00BB118E">
      <w:pPr>
        <w:pStyle w:val="ListParagraph"/>
        <w:rPr>
          <w:rFonts w:ascii="Arial" w:hAnsi="Arial" w:cs="Arial"/>
        </w:rPr>
      </w:pPr>
    </w:p>
    <w:p w:rsidR="00BB118E" w:rsidRPr="00AB59E6" w:rsidRDefault="00BB118E" w:rsidP="003F0F9C">
      <w:pPr>
        <w:pStyle w:val="ListParagraph"/>
        <w:numPr>
          <w:ilvl w:val="1"/>
          <w:numId w:val="17"/>
        </w:numPr>
        <w:spacing w:line="240" w:lineRule="auto"/>
        <w:rPr>
          <w:rFonts w:ascii="Arial" w:hAnsi="Arial" w:cs="Arial"/>
        </w:rPr>
      </w:pPr>
      <w:r>
        <w:rPr>
          <w:rFonts w:ascii="Arial" w:hAnsi="Arial" w:cs="Arial"/>
        </w:rPr>
        <w:t xml:space="preserve">The Clinical Academic is responsible for keeping records of their own appraisal documentation. </w:t>
      </w:r>
    </w:p>
    <w:p w:rsidR="003F0F9C" w:rsidRPr="00AB59E6" w:rsidRDefault="003F0F9C" w:rsidP="003F0F9C">
      <w:pPr>
        <w:pStyle w:val="ListParagraph"/>
        <w:rPr>
          <w:rFonts w:ascii="Arial" w:hAnsi="Arial" w:cs="Arial"/>
        </w:rPr>
      </w:pPr>
    </w:p>
    <w:p w:rsidR="003F0F9C" w:rsidRPr="00AB59E6" w:rsidRDefault="003F0F9C" w:rsidP="003F0F9C">
      <w:pPr>
        <w:pStyle w:val="ListParagraph"/>
        <w:numPr>
          <w:ilvl w:val="1"/>
          <w:numId w:val="17"/>
        </w:numPr>
        <w:spacing w:line="240" w:lineRule="auto"/>
        <w:rPr>
          <w:rFonts w:ascii="Arial" w:hAnsi="Arial" w:cs="Arial"/>
        </w:rPr>
      </w:pPr>
      <w:r w:rsidRPr="00AB59E6">
        <w:rPr>
          <w:rFonts w:ascii="Arial" w:hAnsi="Arial" w:cs="Arial"/>
        </w:rPr>
        <w:t>GMC ‘expectations’ for re-validation are structured around 4 domains:</w:t>
      </w:r>
    </w:p>
    <w:p w:rsidR="003F0F9C" w:rsidRPr="00AB59E6" w:rsidRDefault="003F0F9C" w:rsidP="003F0F9C">
      <w:pPr>
        <w:pStyle w:val="ListParagraph"/>
        <w:rPr>
          <w:rFonts w:ascii="Arial" w:hAnsi="Arial" w:cs="Arial"/>
        </w:rPr>
      </w:pPr>
    </w:p>
    <w:p w:rsidR="003F0F9C" w:rsidRPr="00AB59E6" w:rsidRDefault="003F0F9C" w:rsidP="000720AD">
      <w:pPr>
        <w:pStyle w:val="ListParagraph"/>
        <w:numPr>
          <w:ilvl w:val="0"/>
          <w:numId w:val="28"/>
        </w:numPr>
        <w:rPr>
          <w:rFonts w:ascii="Arial" w:hAnsi="Arial" w:cs="Arial"/>
        </w:rPr>
      </w:pPr>
      <w:r w:rsidRPr="00AB59E6">
        <w:rPr>
          <w:rFonts w:ascii="Arial" w:hAnsi="Arial" w:cs="Arial"/>
        </w:rPr>
        <w:t>Knowledge, skills and performance</w:t>
      </w:r>
    </w:p>
    <w:p w:rsidR="003F0F9C" w:rsidRPr="00AB59E6" w:rsidRDefault="003F0F9C" w:rsidP="000720AD">
      <w:pPr>
        <w:pStyle w:val="ListParagraph"/>
        <w:numPr>
          <w:ilvl w:val="0"/>
          <w:numId w:val="28"/>
        </w:numPr>
        <w:rPr>
          <w:rFonts w:ascii="Arial" w:hAnsi="Arial" w:cs="Arial"/>
        </w:rPr>
      </w:pPr>
      <w:r w:rsidRPr="00AB59E6">
        <w:rPr>
          <w:rFonts w:ascii="Arial" w:hAnsi="Arial" w:cs="Arial"/>
        </w:rPr>
        <w:t>Safety and quality</w:t>
      </w:r>
    </w:p>
    <w:p w:rsidR="003F0F9C" w:rsidRPr="00AB59E6" w:rsidRDefault="003F0F9C" w:rsidP="000720AD">
      <w:pPr>
        <w:pStyle w:val="ListParagraph"/>
        <w:numPr>
          <w:ilvl w:val="0"/>
          <w:numId w:val="28"/>
        </w:numPr>
        <w:rPr>
          <w:rFonts w:ascii="Arial" w:hAnsi="Arial" w:cs="Arial"/>
        </w:rPr>
      </w:pPr>
      <w:r w:rsidRPr="00AB59E6">
        <w:rPr>
          <w:rFonts w:ascii="Arial" w:hAnsi="Arial" w:cs="Arial"/>
        </w:rPr>
        <w:t>Communication, partnership and teamwork</w:t>
      </w:r>
    </w:p>
    <w:p w:rsidR="003F0F9C" w:rsidRPr="00AB59E6" w:rsidRDefault="003F0F9C" w:rsidP="000720AD">
      <w:pPr>
        <w:pStyle w:val="ListParagraph"/>
        <w:numPr>
          <w:ilvl w:val="0"/>
          <w:numId w:val="28"/>
        </w:numPr>
        <w:rPr>
          <w:rFonts w:ascii="Arial" w:hAnsi="Arial" w:cs="Arial"/>
        </w:rPr>
      </w:pPr>
      <w:r w:rsidRPr="00AB59E6">
        <w:rPr>
          <w:rFonts w:ascii="Arial" w:hAnsi="Arial" w:cs="Arial"/>
        </w:rPr>
        <w:t>Maintaining trust</w:t>
      </w:r>
    </w:p>
    <w:p w:rsidR="003F0F9C" w:rsidRPr="00AB59E6" w:rsidRDefault="003F0F9C" w:rsidP="003F0F9C">
      <w:pPr>
        <w:pStyle w:val="ListParagraph"/>
        <w:rPr>
          <w:rFonts w:ascii="Arial" w:hAnsi="Arial" w:cs="Arial"/>
        </w:rPr>
      </w:pPr>
    </w:p>
    <w:p w:rsidR="003F0F9C" w:rsidRPr="00AB59E6" w:rsidRDefault="003F0F9C" w:rsidP="003F0F9C">
      <w:pPr>
        <w:pStyle w:val="ListParagraph"/>
        <w:numPr>
          <w:ilvl w:val="1"/>
          <w:numId w:val="17"/>
        </w:numPr>
        <w:spacing w:line="240" w:lineRule="auto"/>
        <w:rPr>
          <w:rFonts w:ascii="Arial" w:hAnsi="Arial" w:cs="Arial"/>
        </w:rPr>
      </w:pPr>
      <w:r w:rsidRPr="00AB59E6">
        <w:rPr>
          <w:rFonts w:ascii="Arial" w:hAnsi="Arial" w:cs="Arial"/>
        </w:rPr>
        <w:t>An appraisal form for The University of Exeter has been agreed and can be found in the appendices. It includes information on the above four categories as do all clinical academic job descriptions. The headings required and listed on the appraisal form for re-validation purposes are as follows:</w:t>
      </w:r>
    </w:p>
    <w:p w:rsidR="003F0F9C" w:rsidRPr="00AB59E6" w:rsidRDefault="003F0F9C" w:rsidP="003F0F9C">
      <w:pPr>
        <w:pStyle w:val="ListParagraph"/>
        <w:spacing w:line="240" w:lineRule="auto"/>
        <w:ind w:left="792"/>
        <w:rPr>
          <w:rFonts w:ascii="Arial" w:hAnsi="Arial" w:cs="Arial"/>
        </w:rPr>
      </w:pPr>
    </w:p>
    <w:p w:rsidR="003F0F9C" w:rsidRPr="00AB59E6" w:rsidRDefault="003F0F9C" w:rsidP="003F0F9C">
      <w:pPr>
        <w:pStyle w:val="ListParagraph"/>
        <w:numPr>
          <w:ilvl w:val="0"/>
          <w:numId w:val="21"/>
        </w:numPr>
        <w:spacing w:line="240" w:lineRule="auto"/>
        <w:rPr>
          <w:rFonts w:ascii="Arial" w:hAnsi="Arial" w:cs="Arial"/>
        </w:rPr>
      </w:pPr>
      <w:r w:rsidRPr="00AB59E6">
        <w:rPr>
          <w:rFonts w:ascii="Arial" w:hAnsi="Arial" w:cs="Arial"/>
        </w:rPr>
        <w:t>Good clinical care</w:t>
      </w:r>
    </w:p>
    <w:p w:rsidR="003F0F9C" w:rsidRPr="00AB59E6" w:rsidRDefault="003F0F9C" w:rsidP="003F0F9C">
      <w:pPr>
        <w:pStyle w:val="ListParagraph"/>
        <w:numPr>
          <w:ilvl w:val="0"/>
          <w:numId w:val="21"/>
        </w:numPr>
        <w:spacing w:line="240" w:lineRule="auto"/>
        <w:rPr>
          <w:rFonts w:ascii="Arial" w:hAnsi="Arial" w:cs="Arial"/>
        </w:rPr>
      </w:pPr>
      <w:r w:rsidRPr="00AB59E6">
        <w:rPr>
          <w:rFonts w:ascii="Arial" w:hAnsi="Arial" w:cs="Arial"/>
        </w:rPr>
        <w:t>Maintaining good medical practice</w:t>
      </w:r>
    </w:p>
    <w:p w:rsidR="003F0F9C" w:rsidRPr="00AB59E6" w:rsidRDefault="003F0F9C" w:rsidP="003F0F9C">
      <w:pPr>
        <w:pStyle w:val="ListParagraph"/>
        <w:numPr>
          <w:ilvl w:val="0"/>
          <w:numId w:val="21"/>
        </w:numPr>
        <w:spacing w:line="240" w:lineRule="auto"/>
        <w:rPr>
          <w:rFonts w:ascii="Arial" w:hAnsi="Arial" w:cs="Arial"/>
        </w:rPr>
      </w:pPr>
      <w:r w:rsidRPr="00AB59E6">
        <w:rPr>
          <w:rFonts w:ascii="Arial" w:hAnsi="Arial" w:cs="Arial"/>
        </w:rPr>
        <w:t xml:space="preserve">Teaching and training, appraising and assessing </w:t>
      </w:r>
    </w:p>
    <w:p w:rsidR="003F0F9C" w:rsidRPr="00AB59E6" w:rsidRDefault="003F0F9C" w:rsidP="003F0F9C">
      <w:pPr>
        <w:pStyle w:val="ListParagraph"/>
        <w:numPr>
          <w:ilvl w:val="0"/>
          <w:numId w:val="21"/>
        </w:numPr>
        <w:spacing w:line="240" w:lineRule="auto"/>
        <w:rPr>
          <w:rFonts w:ascii="Arial" w:hAnsi="Arial" w:cs="Arial"/>
        </w:rPr>
      </w:pPr>
      <w:r w:rsidRPr="00AB59E6">
        <w:rPr>
          <w:rFonts w:ascii="Arial" w:hAnsi="Arial" w:cs="Arial"/>
        </w:rPr>
        <w:t>Relationships with patients</w:t>
      </w:r>
    </w:p>
    <w:p w:rsidR="003F0F9C" w:rsidRPr="00AB59E6" w:rsidRDefault="003F0F9C" w:rsidP="003F0F9C">
      <w:pPr>
        <w:pStyle w:val="ListParagraph"/>
        <w:numPr>
          <w:ilvl w:val="0"/>
          <w:numId w:val="21"/>
        </w:numPr>
        <w:spacing w:line="240" w:lineRule="auto"/>
        <w:rPr>
          <w:rFonts w:ascii="Arial" w:hAnsi="Arial" w:cs="Arial"/>
        </w:rPr>
      </w:pPr>
      <w:r w:rsidRPr="00AB59E6">
        <w:rPr>
          <w:rFonts w:ascii="Arial" w:hAnsi="Arial" w:cs="Arial"/>
        </w:rPr>
        <w:t>Working with colleagues</w:t>
      </w:r>
    </w:p>
    <w:p w:rsidR="003F0F9C" w:rsidRPr="00AB59E6" w:rsidRDefault="003F0F9C" w:rsidP="003F0F9C">
      <w:pPr>
        <w:pStyle w:val="ListParagraph"/>
        <w:numPr>
          <w:ilvl w:val="0"/>
          <w:numId w:val="21"/>
        </w:numPr>
        <w:spacing w:line="240" w:lineRule="auto"/>
        <w:rPr>
          <w:rFonts w:ascii="Arial" w:hAnsi="Arial" w:cs="Arial"/>
        </w:rPr>
      </w:pPr>
      <w:r w:rsidRPr="00AB59E6">
        <w:rPr>
          <w:rFonts w:ascii="Arial" w:hAnsi="Arial" w:cs="Arial"/>
        </w:rPr>
        <w:t>Probity</w:t>
      </w:r>
    </w:p>
    <w:p w:rsidR="003F0F9C" w:rsidRPr="00AB59E6" w:rsidRDefault="003F0F9C" w:rsidP="003F0F9C">
      <w:pPr>
        <w:pStyle w:val="ListParagraph"/>
        <w:numPr>
          <w:ilvl w:val="0"/>
          <w:numId w:val="21"/>
        </w:numPr>
        <w:spacing w:line="240" w:lineRule="auto"/>
        <w:rPr>
          <w:rFonts w:ascii="Arial" w:hAnsi="Arial" w:cs="Arial"/>
        </w:rPr>
      </w:pPr>
      <w:r w:rsidRPr="00AB59E6">
        <w:rPr>
          <w:rFonts w:ascii="Arial" w:hAnsi="Arial" w:cs="Arial"/>
        </w:rPr>
        <w:t>Health</w:t>
      </w:r>
    </w:p>
    <w:p w:rsidR="003F0F9C" w:rsidRPr="00AB59E6" w:rsidRDefault="003F0F9C" w:rsidP="003F0F9C">
      <w:pPr>
        <w:pStyle w:val="ListParagraph"/>
        <w:spacing w:line="240" w:lineRule="auto"/>
        <w:ind w:left="792"/>
        <w:rPr>
          <w:rFonts w:ascii="Arial" w:hAnsi="Arial" w:cs="Arial"/>
        </w:rPr>
      </w:pPr>
    </w:p>
    <w:p w:rsidR="003F0F9C" w:rsidRPr="00AB59E6" w:rsidRDefault="003F0F9C" w:rsidP="003F0F9C">
      <w:pPr>
        <w:pStyle w:val="ListParagraph"/>
        <w:numPr>
          <w:ilvl w:val="1"/>
          <w:numId w:val="17"/>
        </w:numPr>
        <w:spacing w:line="240" w:lineRule="auto"/>
        <w:rPr>
          <w:rFonts w:ascii="Arial" w:hAnsi="Arial" w:cs="Arial"/>
        </w:rPr>
      </w:pPr>
      <w:r w:rsidRPr="00AB59E6">
        <w:rPr>
          <w:rFonts w:ascii="Arial" w:hAnsi="Arial" w:cs="Arial"/>
        </w:rPr>
        <w:t xml:space="preserve">The </w:t>
      </w:r>
      <w:proofErr w:type="spellStart"/>
      <w:r w:rsidRPr="00AB59E6">
        <w:rPr>
          <w:rFonts w:ascii="Arial" w:hAnsi="Arial" w:cs="Arial"/>
        </w:rPr>
        <w:t>appraisee</w:t>
      </w:r>
      <w:proofErr w:type="spellEnd"/>
      <w:r w:rsidRPr="00AB59E6">
        <w:rPr>
          <w:rFonts w:ascii="Arial" w:hAnsi="Arial" w:cs="Arial"/>
        </w:rPr>
        <w:t xml:space="preserve"> should prepare for the appraisal by identifying those issues that he/she wishes to raise with the appraisers and prepare an outline personal development plan. </w:t>
      </w:r>
    </w:p>
    <w:p w:rsidR="003F0F9C" w:rsidRPr="00AB59E6" w:rsidRDefault="003F0F9C" w:rsidP="003F0F9C">
      <w:pPr>
        <w:pStyle w:val="ListParagraph"/>
        <w:spacing w:line="240" w:lineRule="auto"/>
        <w:ind w:left="792"/>
        <w:rPr>
          <w:rFonts w:ascii="Arial" w:hAnsi="Arial" w:cs="Arial"/>
        </w:rPr>
      </w:pPr>
    </w:p>
    <w:p w:rsidR="003F0F9C" w:rsidRPr="00AB59E6" w:rsidRDefault="003F0F9C" w:rsidP="003F0F9C">
      <w:pPr>
        <w:pStyle w:val="ListParagraph"/>
        <w:numPr>
          <w:ilvl w:val="1"/>
          <w:numId w:val="17"/>
        </w:numPr>
        <w:spacing w:line="240" w:lineRule="auto"/>
        <w:rPr>
          <w:rFonts w:ascii="Arial" w:hAnsi="Arial" w:cs="Arial"/>
        </w:rPr>
      </w:pPr>
      <w:r w:rsidRPr="00AB59E6">
        <w:rPr>
          <w:rFonts w:ascii="Arial" w:hAnsi="Arial" w:cs="Arial"/>
        </w:rPr>
        <w:t xml:space="preserve">The </w:t>
      </w:r>
      <w:proofErr w:type="spellStart"/>
      <w:r w:rsidRPr="00AB59E6">
        <w:rPr>
          <w:rFonts w:ascii="Arial" w:hAnsi="Arial" w:cs="Arial"/>
        </w:rPr>
        <w:t>appraisee</w:t>
      </w:r>
      <w:proofErr w:type="spellEnd"/>
      <w:r w:rsidRPr="00AB59E6">
        <w:rPr>
          <w:rFonts w:ascii="Arial" w:hAnsi="Arial" w:cs="Arial"/>
        </w:rPr>
        <w:t xml:space="preserve"> needs to consider how he/she is continuing to meet the principles and values set out in the four domains of the Good Medical Practice Framework for Appraisal and Revalidation. For England Section 18 of the appraisal form provides the appropriate prompts. </w:t>
      </w:r>
    </w:p>
    <w:p w:rsidR="003F0F9C" w:rsidRPr="00AB59E6" w:rsidRDefault="003F0F9C" w:rsidP="003F0F9C">
      <w:pPr>
        <w:pStyle w:val="ListParagraph"/>
        <w:rPr>
          <w:rFonts w:ascii="Arial" w:hAnsi="Arial" w:cs="Arial"/>
        </w:rPr>
      </w:pPr>
    </w:p>
    <w:p w:rsidR="003F0F9C" w:rsidRPr="00AB59E6" w:rsidRDefault="003F0F9C" w:rsidP="003F0F9C">
      <w:pPr>
        <w:pStyle w:val="ListParagraph"/>
        <w:numPr>
          <w:ilvl w:val="1"/>
          <w:numId w:val="17"/>
        </w:numPr>
        <w:spacing w:line="240" w:lineRule="auto"/>
        <w:rPr>
          <w:rFonts w:ascii="Arial" w:hAnsi="Arial" w:cs="Arial"/>
        </w:rPr>
      </w:pPr>
      <w:r w:rsidRPr="00AB59E6">
        <w:rPr>
          <w:rFonts w:ascii="Arial" w:hAnsi="Arial" w:cs="Arial"/>
        </w:rPr>
        <w:t>The appraisers should agree and then prepare a workload summary with the academic being appraised drawing on the agreed job plan, which includes the full scope of all the work that the clinical academic undertakes. It will be necessary for early discussion to take place on what data are relevant and will be required. This will include data on clinical workload, teaching, research, administration and management, equality and diversity issues and any pertinent internal and external comparative information</w:t>
      </w:r>
      <w:r w:rsidRPr="00AB59E6">
        <w:rPr>
          <w:rFonts w:ascii="Arial" w:hAnsi="Arial" w:cs="Arial"/>
          <w:b/>
          <w:bCs/>
        </w:rPr>
        <w:t xml:space="preserve">. </w:t>
      </w:r>
      <w:r w:rsidRPr="00AB59E6">
        <w:rPr>
          <w:rFonts w:ascii="Arial" w:hAnsi="Arial" w:cs="Arial"/>
        </w:rPr>
        <w:t xml:space="preserve">It should also include work for voluntary organisations and work in private or independent practice. </w:t>
      </w:r>
      <w:proofErr w:type="gramStart"/>
      <w:r w:rsidRPr="00AB59E6">
        <w:rPr>
          <w:rFonts w:ascii="Arial" w:hAnsi="Arial" w:cs="Arial"/>
        </w:rPr>
        <w:t>Section 4 of the appraisal form provide</w:t>
      </w:r>
      <w:proofErr w:type="gramEnd"/>
      <w:r w:rsidRPr="00AB59E6">
        <w:rPr>
          <w:rFonts w:ascii="Arial" w:hAnsi="Arial" w:cs="Arial"/>
        </w:rPr>
        <w:t xml:space="preserve"> the appropriate prompts. </w:t>
      </w:r>
    </w:p>
    <w:p w:rsidR="003F0F9C" w:rsidRPr="00AB59E6" w:rsidRDefault="003F0F9C" w:rsidP="003F0F9C">
      <w:pPr>
        <w:pStyle w:val="ListParagraph"/>
        <w:rPr>
          <w:rFonts w:ascii="Arial" w:hAnsi="Arial" w:cs="Arial"/>
        </w:rPr>
      </w:pPr>
    </w:p>
    <w:p w:rsidR="003F0F9C" w:rsidRPr="00AB59E6" w:rsidRDefault="003F0F9C" w:rsidP="003F0F9C">
      <w:pPr>
        <w:pStyle w:val="ListParagraph"/>
        <w:numPr>
          <w:ilvl w:val="1"/>
          <w:numId w:val="17"/>
        </w:numPr>
        <w:spacing w:line="240" w:lineRule="auto"/>
        <w:rPr>
          <w:rFonts w:ascii="Arial" w:hAnsi="Arial" w:cs="Arial"/>
        </w:rPr>
      </w:pPr>
      <w:r w:rsidRPr="00AB59E6">
        <w:rPr>
          <w:rFonts w:ascii="Arial" w:hAnsi="Arial" w:cs="Arial"/>
        </w:rPr>
        <w:t xml:space="preserve">In order to undertake joint appraisal, it will be necessary for the Trust(s)/Board(s) or other NHS body and The University of Exeter to share information about the </w:t>
      </w:r>
      <w:proofErr w:type="spellStart"/>
      <w:r w:rsidRPr="00AB59E6">
        <w:rPr>
          <w:rFonts w:ascii="Arial" w:hAnsi="Arial" w:cs="Arial"/>
        </w:rPr>
        <w:t>appraisee</w:t>
      </w:r>
      <w:proofErr w:type="spellEnd"/>
      <w:r w:rsidRPr="00AB59E6">
        <w:rPr>
          <w:rFonts w:ascii="Arial" w:hAnsi="Arial" w:cs="Arial"/>
        </w:rPr>
        <w:t xml:space="preserve"> in accordance with the Follett principles and the general mutual obligations of the contract of employment. </w:t>
      </w:r>
    </w:p>
    <w:p w:rsidR="003F0F9C" w:rsidRPr="00AB59E6" w:rsidRDefault="003F0F9C" w:rsidP="003F0F9C">
      <w:pPr>
        <w:pStyle w:val="ListParagraph"/>
        <w:rPr>
          <w:rFonts w:ascii="Arial" w:hAnsi="Arial" w:cs="Arial"/>
        </w:rPr>
      </w:pPr>
    </w:p>
    <w:p w:rsidR="003F0F9C" w:rsidRPr="00AB59E6" w:rsidRDefault="003F0F9C" w:rsidP="003F0F9C">
      <w:pPr>
        <w:pStyle w:val="ListParagraph"/>
        <w:numPr>
          <w:ilvl w:val="1"/>
          <w:numId w:val="17"/>
        </w:numPr>
        <w:spacing w:line="240" w:lineRule="auto"/>
        <w:rPr>
          <w:rFonts w:ascii="Arial" w:hAnsi="Arial" w:cs="Arial"/>
        </w:rPr>
      </w:pPr>
      <w:r w:rsidRPr="00AB59E6">
        <w:rPr>
          <w:rFonts w:ascii="Arial" w:hAnsi="Arial" w:cs="Arial"/>
        </w:rPr>
        <w:t xml:space="preserve">The primary purpose of the summary of the scope of work is to inform the appraisal and job plan review, and to facilitate joint planning and development between The University of Exeter and the NHS. It will highlight any significant changes that might have arisen over the previous 12 months and which require discussion between all parties. </w:t>
      </w:r>
    </w:p>
    <w:p w:rsidR="00031289" w:rsidRPr="00AB59E6" w:rsidRDefault="00E666A4" w:rsidP="00031289">
      <w:pPr>
        <w:pStyle w:val="Heading1"/>
        <w:numPr>
          <w:ilvl w:val="0"/>
          <w:numId w:val="17"/>
        </w:numPr>
        <w:rPr>
          <w:rFonts w:cs="Arial"/>
        </w:rPr>
      </w:pPr>
      <w:r w:rsidRPr="00AB59E6">
        <w:rPr>
          <w:rFonts w:cs="Arial"/>
        </w:rPr>
        <w:t>W</w:t>
      </w:r>
      <w:r w:rsidR="0033406A" w:rsidRPr="00AB59E6">
        <w:rPr>
          <w:rFonts w:cs="Arial"/>
        </w:rPr>
        <w:t>ho undertakes the appraisal</w:t>
      </w:r>
      <w:r w:rsidR="00950A7A">
        <w:rPr>
          <w:rFonts w:cs="Arial"/>
        </w:rPr>
        <w:t xml:space="preserve"> and when</w:t>
      </w:r>
      <w:r w:rsidR="0033406A" w:rsidRPr="00AB59E6">
        <w:rPr>
          <w:rFonts w:cs="Arial"/>
        </w:rPr>
        <w:t xml:space="preserve">? </w:t>
      </w:r>
    </w:p>
    <w:p w:rsidR="00031289" w:rsidRPr="00AB59E6" w:rsidRDefault="00031289" w:rsidP="00031289">
      <w:pPr>
        <w:rPr>
          <w:rFonts w:ascii="Arial" w:hAnsi="Arial" w:cs="Arial"/>
        </w:rPr>
      </w:pPr>
    </w:p>
    <w:p w:rsidR="00950A7A" w:rsidRDefault="00950A7A" w:rsidP="00031289">
      <w:pPr>
        <w:pStyle w:val="ListParagraph"/>
        <w:numPr>
          <w:ilvl w:val="1"/>
          <w:numId w:val="17"/>
        </w:numPr>
        <w:spacing w:line="240" w:lineRule="auto"/>
        <w:rPr>
          <w:rFonts w:ascii="Arial" w:hAnsi="Arial" w:cs="Arial"/>
        </w:rPr>
      </w:pPr>
      <w:r>
        <w:rPr>
          <w:rFonts w:ascii="Arial" w:hAnsi="Arial" w:cs="Arial"/>
        </w:rPr>
        <w:t xml:space="preserve">HR will send out a reminder to managers about </w:t>
      </w:r>
      <w:r w:rsidR="005C64E9">
        <w:rPr>
          <w:rFonts w:ascii="Arial" w:hAnsi="Arial" w:cs="Arial"/>
        </w:rPr>
        <w:t xml:space="preserve">Clinical Academic </w:t>
      </w:r>
      <w:r>
        <w:rPr>
          <w:rFonts w:ascii="Arial" w:hAnsi="Arial" w:cs="Arial"/>
        </w:rPr>
        <w:t xml:space="preserve">appraisal in April of each year. This reminder will include </w:t>
      </w:r>
      <w:r w:rsidRPr="00950A7A">
        <w:rPr>
          <w:rFonts w:ascii="Arial" w:hAnsi="Arial" w:cs="Arial"/>
        </w:rPr>
        <w:t xml:space="preserve">the </w:t>
      </w:r>
      <w:r>
        <w:rPr>
          <w:rFonts w:ascii="Arial" w:hAnsi="Arial" w:cs="Arial"/>
        </w:rPr>
        <w:t xml:space="preserve">current </w:t>
      </w:r>
      <w:r w:rsidRPr="00950A7A">
        <w:rPr>
          <w:rFonts w:ascii="Arial" w:hAnsi="Arial" w:cs="Arial"/>
        </w:rPr>
        <w:t xml:space="preserve">Model Clinical Academic Appraisal form </w:t>
      </w:r>
      <w:r>
        <w:rPr>
          <w:rFonts w:ascii="Arial" w:hAnsi="Arial" w:cs="Arial"/>
        </w:rPr>
        <w:t xml:space="preserve">(agreed by the </w:t>
      </w:r>
      <w:r w:rsidRPr="00950A7A">
        <w:rPr>
          <w:rFonts w:ascii="Arial" w:hAnsi="Arial" w:cs="Arial"/>
        </w:rPr>
        <w:t>B</w:t>
      </w:r>
      <w:r>
        <w:rPr>
          <w:rFonts w:ascii="Arial" w:hAnsi="Arial" w:cs="Arial"/>
        </w:rPr>
        <w:t xml:space="preserve">ritish </w:t>
      </w:r>
      <w:r w:rsidRPr="00950A7A">
        <w:rPr>
          <w:rFonts w:ascii="Arial" w:hAnsi="Arial" w:cs="Arial"/>
        </w:rPr>
        <w:t>M</w:t>
      </w:r>
      <w:r>
        <w:rPr>
          <w:rFonts w:ascii="Arial" w:hAnsi="Arial" w:cs="Arial"/>
        </w:rPr>
        <w:t xml:space="preserve">edical </w:t>
      </w:r>
      <w:r w:rsidRPr="00950A7A">
        <w:rPr>
          <w:rFonts w:ascii="Arial" w:hAnsi="Arial" w:cs="Arial"/>
        </w:rPr>
        <w:t>A</w:t>
      </w:r>
      <w:r>
        <w:rPr>
          <w:rFonts w:ascii="Arial" w:hAnsi="Arial" w:cs="Arial"/>
        </w:rPr>
        <w:t>ssociation</w:t>
      </w:r>
      <w:r w:rsidRPr="00950A7A">
        <w:rPr>
          <w:rFonts w:ascii="Arial" w:hAnsi="Arial" w:cs="Arial"/>
        </w:rPr>
        <w:t xml:space="preserve"> and University and College Employers Association</w:t>
      </w:r>
      <w:r>
        <w:rPr>
          <w:rFonts w:ascii="Arial" w:hAnsi="Arial" w:cs="Arial"/>
        </w:rPr>
        <w:t>)</w:t>
      </w:r>
      <w:r w:rsidRPr="00950A7A">
        <w:rPr>
          <w:rFonts w:ascii="Arial" w:hAnsi="Arial" w:cs="Arial"/>
        </w:rPr>
        <w:t xml:space="preserve"> </w:t>
      </w:r>
      <w:r>
        <w:rPr>
          <w:rFonts w:ascii="Arial" w:hAnsi="Arial" w:cs="Arial"/>
        </w:rPr>
        <w:t xml:space="preserve">as well as </w:t>
      </w:r>
      <w:r w:rsidRPr="00950A7A">
        <w:rPr>
          <w:rFonts w:ascii="Arial" w:hAnsi="Arial" w:cs="Arial"/>
        </w:rPr>
        <w:t xml:space="preserve">the </w:t>
      </w:r>
      <w:r>
        <w:rPr>
          <w:rFonts w:ascii="Arial" w:hAnsi="Arial" w:cs="Arial"/>
        </w:rPr>
        <w:t xml:space="preserve">UCEA </w:t>
      </w:r>
      <w:r w:rsidR="005C64E9">
        <w:rPr>
          <w:rFonts w:ascii="Arial" w:hAnsi="Arial" w:cs="Arial"/>
        </w:rPr>
        <w:t>guidance document for Clinical A</w:t>
      </w:r>
      <w:r w:rsidRPr="00950A7A">
        <w:rPr>
          <w:rFonts w:ascii="Arial" w:hAnsi="Arial" w:cs="Arial"/>
        </w:rPr>
        <w:t>cademic appraisal.</w:t>
      </w:r>
      <w:r>
        <w:rPr>
          <w:rFonts w:ascii="Arial" w:hAnsi="Arial" w:cs="Arial"/>
        </w:rPr>
        <w:t xml:space="preserve"> Please note the form is not included </w:t>
      </w:r>
      <w:r w:rsidR="005C64E9">
        <w:rPr>
          <w:rFonts w:ascii="Arial" w:hAnsi="Arial" w:cs="Arial"/>
        </w:rPr>
        <w:t xml:space="preserve">as an appendix to this document </w:t>
      </w:r>
      <w:r>
        <w:rPr>
          <w:rFonts w:ascii="Arial" w:hAnsi="Arial" w:cs="Arial"/>
        </w:rPr>
        <w:t>as it may be subject to change.</w:t>
      </w:r>
      <w:r w:rsidR="005C64E9">
        <w:rPr>
          <w:rFonts w:ascii="Arial" w:hAnsi="Arial" w:cs="Arial"/>
        </w:rPr>
        <w:t xml:space="preserve"> Details of the return of appraisal forms will also be given.</w:t>
      </w:r>
    </w:p>
    <w:p w:rsidR="00950A7A" w:rsidRDefault="00950A7A" w:rsidP="00511D49">
      <w:pPr>
        <w:pStyle w:val="ListParagraph"/>
        <w:spacing w:line="240" w:lineRule="auto"/>
        <w:ind w:left="792"/>
        <w:rPr>
          <w:rFonts w:ascii="Arial" w:hAnsi="Arial" w:cs="Arial"/>
        </w:rPr>
      </w:pPr>
    </w:p>
    <w:p w:rsidR="00031289" w:rsidRDefault="00031289" w:rsidP="00031289">
      <w:pPr>
        <w:pStyle w:val="ListParagraph"/>
        <w:numPr>
          <w:ilvl w:val="1"/>
          <w:numId w:val="17"/>
        </w:numPr>
        <w:spacing w:line="240" w:lineRule="auto"/>
        <w:rPr>
          <w:rFonts w:ascii="Arial" w:hAnsi="Arial" w:cs="Arial"/>
        </w:rPr>
      </w:pPr>
      <w:r w:rsidRPr="00AB59E6">
        <w:rPr>
          <w:rFonts w:ascii="Arial" w:hAnsi="Arial" w:cs="Arial"/>
        </w:rPr>
        <w:t xml:space="preserve">The appraisal will normally be conducted jointly by The University of Exeter and an NHS appointee. In cases where the individual works at more than one NHS trust, The University of Exeter and the associated NHS trusts must agree on a ‘lead Trust appraiser’. </w:t>
      </w:r>
    </w:p>
    <w:p w:rsidR="001F21AC" w:rsidRPr="00AB59E6" w:rsidRDefault="001F21AC" w:rsidP="001F21AC">
      <w:pPr>
        <w:pStyle w:val="ListParagraph"/>
        <w:spacing w:line="240" w:lineRule="auto"/>
        <w:ind w:left="792"/>
        <w:rPr>
          <w:rFonts w:ascii="Arial" w:hAnsi="Arial" w:cs="Arial"/>
        </w:rPr>
      </w:pPr>
    </w:p>
    <w:p w:rsidR="00031289" w:rsidRPr="00AB59E6" w:rsidRDefault="00031289" w:rsidP="00031289">
      <w:pPr>
        <w:pStyle w:val="ListParagraph"/>
        <w:numPr>
          <w:ilvl w:val="1"/>
          <w:numId w:val="17"/>
        </w:numPr>
        <w:spacing w:line="240" w:lineRule="auto"/>
        <w:rPr>
          <w:rFonts w:ascii="Arial" w:hAnsi="Arial" w:cs="Arial"/>
        </w:rPr>
      </w:pPr>
      <w:r w:rsidRPr="00AB59E6">
        <w:rPr>
          <w:rFonts w:ascii="Arial" w:hAnsi="Arial" w:cs="Arial"/>
        </w:rPr>
        <w:t xml:space="preserve">The Dean of the Medical School and the Chief Executive of the NHS partner body will nominate the appropriately trained persons competent to undertake appraisal across the broad range of headings within the appraisal scheme. </w:t>
      </w:r>
      <w:r w:rsidR="001F21AC">
        <w:rPr>
          <w:rFonts w:ascii="Arial" w:hAnsi="Arial" w:cs="Arial"/>
        </w:rPr>
        <w:t xml:space="preserve">For teaching roles the Vice Dean of Education will normally be nominated and for research roles, the Vice Dean of Research. </w:t>
      </w:r>
      <w:r w:rsidRPr="00AB59E6">
        <w:rPr>
          <w:rFonts w:ascii="Arial" w:hAnsi="Arial" w:cs="Arial"/>
        </w:rPr>
        <w:t xml:space="preserve">It is required that at least one of the appraisers be on the Medical Register or Dental Register as appropriate. Both parties must ensure that the appraisers are properly trained and in a position to undertake this joint role and, where appropriate, the linked process of Job Plan Review. The </w:t>
      </w:r>
      <w:proofErr w:type="spellStart"/>
      <w:r w:rsidRPr="00AB59E6">
        <w:rPr>
          <w:rFonts w:ascii="Arial" w:hAnsi="Arial" w:cs="Arial"/>
        </w:rPr>
        <w:t>appraisee</w:t>
      </w:r>
      <w:proofErr w:type="spellEnd"/>
      <w:r w:rsidRPr="00AB59E6">
        <w:rPr>
          <w:rFonts w:ascii="Arial" w:hAnsi="Arial" w:cs="Arial"/>
        </w:rPr>
        <w:t xml:space="preserve"> has the right to object to those nominated to act as appraisers.</w:t>
      </w:r>
    </w:p>
    <w:p w:rsidR="00031289" w:rsidRPr="00AB59E6" w:rsidRDefault="00031289" w:rsidP="00031289">
      <w:pPr>
        <w:pStyle w:val="ListParagraph"/>
        <w:spacing w:line="240" w:lineRule="auto"/>
        <w:ind w:left="792"/>
        <w:rPr>
          <w:rFonts w:ascii="Arial" w:hAnsi="Arial" w:cs="Arial"/>
        </w:rPr>
      </w:pPr>
    </w:p>
    <w:p w:rsidR="00031289" w:rsidRPr="00AB59E6" w:rsidRDefault="00031289" w:rsidP="00031289">
      <w:pPr>
        <w:pStyle w:val="ListParagraph"/>
        <w:numPr>
          <w:ilvl w:val="1"/>
          <w:numId w:val="17"/>
        </w:numPr>
        <w:spacing w:line="240" w:lineRule="auto"/>
        <w:rPr>
          <w:rFonts w:ascii="Arial" w:hAnsi="Arial" w:cs="Arial"/>
        </w:rPr>
      </w:pPr>
      <w:r w:rsidRPr="00AB59E6">
        <w:rPr>
          <w:rFonts w:ascii="Arial" w:hAnsi="Arial" w:cs="Arial"/>
        </w:rPr>
        <w:t xml:space="preserve">The appraisers will be able to cover teaching, research, clinical and management aspects. The university appraiser may be the Head of Department and the NHS appraiser may be the clinical director or equivalent, if this is appropriate to the management arrangements of both organisations. However, there may be provision for a wider range of potential appraisers given local agreement between university and Trust/Board and proper arrangements for the training and accreditation of those appraisers. </w:t>
      </w:r>
    </w:p>
    <w:p w:rsidR="00031289" w:rsidRPr="00AB59E6" w:rsidRDefault="00031289" w:rsidP="00031289">
      <w:pPr>
        <w:pStyle w:val="ListParagraph"/>
        <w:rPr>
          <w:rFonts w:ascii="Arial" w:hAnsi="Arial" w:cs="Arial"/>
        </w:rPr>
      </w:pPr>
    </w:p>
    <w:p w:rsidR="00031289" w:rsidRPr="00AB59E6" w:rsidRDefault="00031289" w:rsidP="00031289">
      <w:pPr>
        <w:pStyle w:val="ListParagraph"/>
        <w:numPr>
          <w:ilvl w:val="1"/>
          <w:numId w:val="17"/>
        </w:numPr>
        <w:spacing w:line="240" w:lineRule="auto"/>
        <w:rPr>
          <w:rFonts w:ascii="Arial" w:hAnsi="Arial" w:cs="Arial"/>
        </w:rPr>
      </w:pPr>
      <w:r w:rsidRPr="00AB59E6">
        <w:rPr>
          <w:rFonts w:ascii="Arial" w:hAnsi="Arial" w:cs="Arial"/>
        </w:rPr>
        <w:t xml:space="preserve">Where there is a recognised incompatibility between one or both of the proposed appraisers and the </w:t>
      </w:r>
      <w:proofErr w:type="spellStart"/>
      <w:r w:rsidRPr="00AB59E6">
        <w:rPr>
          <w:rFonts w:ascii="Arial" w:hAnsi="Arial" w:cs="Arial"/>
        </w:rPr>
        <w:t>appraisee</w:t>
      </w:r>
      <w:proofErr w:type="spellEnd"/>
      <w:r w:rsidRPr="00AB59E6">
        <w:rPr>
          <w:rFonts w:ascii="Arial" w:hAnsi="Arial" w:cs="Arial"/>
        </w:rPr>
        <w:t xml:space="preserve">, the Dean of the Medical School and Chief Executive of the NHS partner body will resolve the matter by nominating suitable alternatives acceptable to all parties (including the </w:t>
      </w:r>
      <w:proofErr w:type="spellStart"/>
      <w:r w:rsidRPr="00AB59E6">
        <w:rPr>
          <w:rFonts w:ascii="Arial" w:hAnsi="Arial" w:cs="Arial"/>
        </w:rPr>
        <w:t>appraisee</w:t>
      </w:r>
      <w:proofErr w:type="spellEnd"/>
      <w:r w:rsidRPr="00AB59E6">
        <w:rPr>
          <w:rFonts w:ascii="Arial" w:hAnsi="Arial" w:cs="Arial"/>
        </w:rPr>
        <w:t xml:space="preserve">). If agreement is not reached on the appraiser(s) within one month of the matter being raised the decision of the Dean of the Medical School/Chief Executive will be binding. </w:t>
      </w:r>
    </w:p>
    <w:p w:rsidR="00031289" w:rsidRPr="00AB59E6" w:rsidRDefault="00031289" w:rsidP="00031289">
      <w:pPr>
        <w:pStyle w:val="ListParagraph"/>
        <w:rPr>
          <w:rFonts w:ascii="Arial" w:hAnsi="Arial" w:cs="Arial"/>
        </w:rPr>
      </w:pPr>
    </w:p>
    <w:p w:rsidR="00031289" w:rsidRPr="00AB59E6" w:rsidRDefault="00031289" w:rsidP="00031289">
      <w:pPr>
        <w:pStyle w:val="ListParagraph"/>
        <w:numPr>
          <w:ilvl w:val="1"/>
          <w:numId w:val="17"/>
        </w:numPr>
        <w:spacing w:line="240" w:lineRule="auto"/>
        <w:rPr>
          <w:rFonts w:ascii="Arial" w:hAnsi="Arial" w:cs="Arial"/>
        </w:rPr>
      </w:pPr>
      <w:r w:rsidRPr="00AB59E6">
        <w:rPr>
          <w:rFonts w:ascii="Arial" w:hAnsi="Arial" w:cs="Arial"/>
        </w:rPr>
        <w:t xml:space="preserve">Special arrangements are required for those clinical academic staff </w:t>
      </w:r>
      <w:proofErr w:type="gramStart"/>
      <w:r w:rsidRPr="00AB59E6">
        <w:rPr>
          <w:rFonts w:ascii="Arial" w:hAnsi="Arial" w:cs="Arial"/>
        </w:rPr>
        <w:t>who</w:t>
      </w:r>
      <w:proofErr w:type="gramEnd"/>
      <w:r w:rsidRPr="00AB59E6">
        <w:rPr>
          <w:rFonts w:ascii="Arial" w:hAnsi="Arial" w:cs="Arial"/>
        </w:rPr>
        <w:t xml:space="preserve"> have senior management roles within The University of Exeter or NHS body. If the clinical academic being appraised is the Dean of the Medical School then normally the Vice-Chancellor would be the university appraiser. If the clinical academic being appraised is a Head of </w:t>
      </w:r>
      <w:r w:rsidR="00FE3DCE">
        <w:rPr>
          <w:rFonts w:ascii="Arial" w:hAnsi="Arial" w:cs="Arial"/>
        </w:rPr>
        <w:t>I</w:t>
      </w:r>
      <w:r w:rsidR="001F21AC">
        <w:rPr>
          <w:rFonts w:ascii="Arial" w:hAnsi="Arial" w:cs="Arial"/>
        </w:rPr>
        <w:t>nstitute</w:t>
      </w:r>
      <w:r w:rsidRPr="00AB59E6">
        <w:rPr>
          <w:rFonts w:ascii="Arial" w:hAnsi="Arial" w:cs="Arial"/>
        </w:rPr>
        <w:t xml:space="preserve"> then normally the Dean of the Medical School would be the University appraiser. </w:t>
      </w:r>
    </w:p>
    <w:p w:rsidR="00E94834" w:rsidRPr="00AB59E6" w:rsidRDefault="00E666A4" w:rsidP="00E94834">
      <w:pPr>
        <w:pStyle w:val="Heading1"/>
        <w:numPr>
          <w:ilvl w:val="0"/>
          <w:numId w:val="17"/>
        </w:numPr>
        <w:rPr>
          <w:rFonts w:cs="Arial"/>
          <w:color w:val="000000"/>
        </w:rPr>
      </w:pPr>
      <w:r w:rsidRPr="00AB59E6">
        <w:rPr>
          <w:rFonts w:cs="Arial"/>
          <w:color w:val="000000"/>
        </w:rPr>
        <w:t xml:space="preserve">Peer Review </w:t>
      </w:r>
    </w:p>
    <w:p w:rsidR="00E94834" w:rsidRPr="00AB59E6" w:rsidRDefault="00E94834" w:rsidP="00E94834">
      <w:pPr>
        <w:rPr>
          <w:rFonts w:ascii="Arial" w:hAnsi="Arial" w:cs="Arial"/>
        </w:rPr>
      </w:pPr>
    </w:p>
    <w:p w:rsidR="00E94834" w:rsidRPr="00AB59E6" w:rsidRDefault="00E94834" w:rsidP="00E94834">
      <w:pPr>
        <w:pStyle w:val="ListParagraph"/>
        <w:numPr>
          <w:ilvl w:val="1"/>
          <w:numId w:val="17"/>
        </w:numPr>
        <w:spacing w:line="240" w:lineRule="auto"/>
        <w:rPr>
          <w:rFonts w:ascii="Arial" w:hAnsi="Arial" w:cs="Arial"/>
        </w:rPr>
      </w:pPr>
      <w:r w:rsidRPr="00AB59E6">
        <w:rPr>
          <w:rFonts w:ascii="Arial" w:hAnsi="Arial" w:cs="Arial"/>
        </w:rPr>
        <w:t xml:space="preserve">Peer review may exceptionally be used in two main circumstances. First in cases where the assessment of some of the more specialist aspects of a clinical academic’s teaching, research and clinical performance may best be carried out by peers who are fully acquainted with the relevant areas of expertise and knowledge. Where it is apparent that peer review is an essential component of appraisal, the appraisers and the </w:t>
      </w:r>
      <w:proofErr w:type="spellStart"/>
      <w:r w:rsidRPr="00AB59E6">
        <w:rPr>
          <w:rFonts w:ascii="Arial" w:hAnsi="Arial" w:cs="Arial"/>
        </w:rPr>
        <w:t>appraisee</w:t>
      </w:r>
      <w:proofErr w:type="spellEnd"/>
      <w:r w:rsidRPr="00AB59E6">
        <w:rPr>
          <w:rFonts w:ascii="Arial" w:hAnsi="Arial" w:cs="Arial"/>
        </w:rPr>
        <w:t xml:space="preserve"> should plan this into the timetable in advance of the appraisal interview. </w:t>
      </w:r>
    </w:p>
    <w:p w:rsidR="00E94834" w:rsidRPr="00AB59E6" w:rsidRDefault="00E94834" w:rsidP="00E94834">
      <w:pPr>
        <w:pStyle w:val="ListParagraph"/>
        <w:spacing w:line="240" w:lineRule="auto"/>
        <w:ind w:left="792"/>
        <w:rPr>
          <w:rFonts w:ascii="Arial" w:hAnsi="Arial" w:cs="Arial"/>
        </w:rPr>
      </w:pPr>
    </w:p>
    <w:p w:rsidR="00E94834" w:rsidRPr="00AB59E6" w:rsidRDefault="00E94834" w:rsidP="00E94834">
      <w:pPr>
        <w:pStyle w:val="ListParagraph"/>
        <w:numPr>
          <w:ilvl w:val="1"/>
          <w:numId w:val="17"/>
        </w:numPr>
        <w:spacing w:line="240" w:lineRule="auto"/>
        <w:rPr>
          <w:rFonts w:ascii="Arial" w:hAnsi="Arial" w:cs="Arial"/>
        </w:rPr>
      </w:pPr>
      <w:r w:rsidRPr="00AB59E6">
        <w:rPr>
          <w:rFonts w:ascii="Arial" w:hAnsi="Arial" w:cs="Arial"/>
        </w:rPr>
        <w:t xml:space="preserve">Second, if it becomes apparent during the appraisal that more detailed discussion and examination of any aspect of the </w:t>
      </w:r>
      <w:proofErr w:type="spellStart"/>
      <w:r w:rsidRPr="00AB59E6">
        <w:rPr>
          <w:rFonts w:ascii="Arial" w:hAnsi="Arial" w:cs="Arial"/>
        </w:rPr>
        <w:t>appraisee’s</w:t>
      </w:r>
      <w:proofErr w:type="spellEnd"/>
      <w:r w:rsidRPr="00AB59E6">
        <w:rPr>
          <w:rFonts w:ascii="Arial" w:hAnsi="Arial" w:cs="Arial"/>
        </w:rPr>
        <w:t xml:space="preserve"> work would be helpful and important, either the appraisers or the </w:t>
      </w:r>
      <w:proofErr w:type="spellStart"/>
      <w:r w:rsidRPr="00AB59E6">
        <w:rPr>
          <w:rFonts w:ascii="Arial" w:hAnsi="Arial" w:cs="Arial"/>
        </w:rPr>
        <w:t>appraisee</w:t>
      </w:r>
      <w:proofErr w:type="spellEnd"/>
      <w:r w:rsidRPr="00AB59E6">
        <w:rPr>
          <w:rFonts w:ascii="Arial" w:hAnsi="Arial" w:cs="Arial"/>
        </w:rPr>
        <w:t xml:space="preserve"> should be able to request internal or external peer review. Normally such peer review would involve three appropriate experts, one nominated by the NHS organisation, one nominated by The University of Exeter and one nominated by the </w:t>
      </w:r>
      <w:proofErr w:type="spellStart"/>
      <w:r w:rsidRPr="00AB59E6">
        <w:rPr>
          <w:rFonts w:ascii="Arial" w:hAnsi="Arial" w:cs="Arial"/>
        </w:rPr>
        <w:t>appraisee</w:t>
      </w:r>
      <w:proofErr w:type="spellEnd"/>
      <w:r w:rsidRPr="00AB59E6">
        <w:rPr>
          <w:rFonts w:ascii="Arial" w:hAnsi="Arial" w:cs="Arial"/>
        </w:rPr>
        <w:t xml:space="preserve">. Any such review should normally be completed within one month and a further meeting scheduled as soon as possible thereafter (but no longer than one month) to complete the appraisal process. </w:t>
      </w:r>
    </w:p>
    <w:p w:rsidR="00E94834" w:rsidRPr="00AB59E6" w:rsidRDefault="00E94834" w:rsidP="00E94834">
      <w:pPr>
        <w:pStyle w:val="ListParagraph"/>
        <w:rPr>
          <w:rFonts w:ascii="Arial" w:hAnsi="Arial" w:cs="Arial"/>
        </w:rPr>
      </w:pPr>
    </w:p>
    <w:p w:rsidR="00E94834" w:rsidRPr="00AB59E6" w:rsidRDefault="00E94834" w:rsidP="00E94834">
      <w:pPr>
        <w:pStyle w:val="ListParagraph"/>
        <w:numPr>
          <w:ilvl w:val="1"/>
          <w:numId w:val="17"/>
        </w:numPr>
        <w:spacing w:line="240" w:lineRule="auto"/>
        <w:rPr>
          <w:rFonts w:ascii="Arial" w:hAnsi="Arial" w:cs="Arial"/>
        </w:rPr>
      </w:pPr>
      <w:r w:rsidRPr="00AB59E6">
        <w:rPr>
          <w:rFonts w:ascii="Arial" w:hAnsi="Arial" w:cs="Arial"/>
        </w:rPr>
        <w:t xml:space="preserve">As a matter of routine, the results of any other peer review or external review carried out involving the clinical academic or their team (e.g. by the funding council, an educational body, a professional body, or similar bodies) will need to be considered at the next appraisal meeting. This will not prevent the employer from following its normal processes in dealing with external reviews. </w:t>
      </w:r>
    </w:p>
    <w:p w:rsidR="00E94834" w:rsidRPr="00AB59E6" w:rsidRDefault="00E94834" w:rsidP="00E94834">
      <w:pPr>
        <w:pStyle w:val="ListParagraph"/>
        <w:rPr>
          <w:rFonts w:ascii="Arial" w:hAnsi="Arial" w:cs="Arial"/>
        </w:rPr>
      </w:pPr>
    </w:p>
    <w:p w:rsidR="00E94834" w:rsidRPr="00AB59E6" w:rsidRDefault="00E94834" w:rsidP="00E94834">
      <w:pPr>
        <w:pStyle w:val="ListParagraph"/>
        <w:numPr>
          <w:ilvl w:val="1"/>
          <w:numId w:val="17"/>
        </w:numPr>
        <w:spacing w:line="240" w:lineRule="auto"/>
        <w:rPr>
          <w:rFonts w:ascii="Arial" w:hAnsi="Arial" w:cs="Arial"/>
        </w:rPr>
      </w:pPr>
      <w:r w:rsidRPr="00AB59E6">
        <w:rPr>
          <w:rFonts w:ascii="Arial" w:hAnsi="Arial" w:cs="Arial"/>
        </w:rPr>
        <w:t xml:space="preserve">If the clinical academic being appraised is a Clinical Director then normally the Medical Director or other suitable consultant nominated by the Chief Executive of the NHS partner body would be the NHS appraiser. </w:t>
      </w:r>
    </w:p>
    <w:p w:rsidR="00E94834" w:rsidRPr="00AB59E6" w:rsidRDefault="00E94834" w:rsidP="00E94834">
      <w:pPr>
        <w:pStyle w:val="ListParagraph"/>
        <w:rPr>
          <w:rFonts w:ascii="Arial" w:hAnsi="Arial" w:cs="Arial"/>
        </w:rPr>
      </w:pPr>
    </w:p>
    <w:p w:rsidR="00E94834" w:rsidRPr="00AB59E6" w:rsidRDefault="00E94834" w:rsidP="00E94834">
      <w:pPr>
        <w:pStyle w:val="ListParagraph"/>
        <w:numPr>
          <w:ilvl w:val="1"/>
          <w:numId w:val="17"/>
        </w:numPr>
        <w:spacing w:line="240" w:lineRule="auto"/>
        <w:rPr>
          <w:rFonts w:ascii="Arial" w:hAnsi="Arial" w:cs="Arial"/>
        </w:rPr>
      </w:pPr>
      <w:r w:rsidRPr="00AB59E6">
        <w:rPr>
          <w:rFonts w:ascii="Arial" w:hAnsi="Arial" w:cs="Arial"/>
        </w:rPr>
        <w:t xml:space="preserve">If the clinical academic being appraised is the Medical Director then the NHS appraiser would be a suitable consultant, nominated by the Chief Executive, who had not himself or herself been appraised by the Medical Director in the same year. </w:t>
      </w:r>
    </w:p>
    <w:p w:rsidR="00E94834" w:rsidRPr="00AB59E6" w:rsidRDefault="00E94834" w:rsidP="00E94834">
      <w:pPr>
        <w:pStyle w:val="ListParagraph"/>
        <w:rPr>
          <w:rFonts w:ascii="Arial" w:hAnsi="Arial" w:cs="Arial"/>
        </w:rPr>
      </w:pPr>
    </w:p>
    <w:p w:rsidR="00E94834" w:rsidRPr="00AB59E6" w:rsidRDefault="00E94834" w:rsidP="00E94834">
      <w:pPr>
        <w:pStyle w:val="ListParagraph"/>
        <w:numPr>
          <w:ilvl w:val="1"/>
          <w:numId w:val="17"/>
        </w:numPr>
        <w:spacing w:line="240" w:lineRule="auto"/>
        <w:rPr>
          <w:rFonts w:ascii="Arial" w:hAnsi="Arial" w:cs="Arial"/>
        </w:rPr>
      </w:pPr>
      <w:r w:rsidRPr="00AB59E6">
        <w:rPr>
          <w:rFonts w:ascii="Arial" w:hAnsi="Arial" w:cs="Arial"/>
        </w:rPr>
        <w:t xml:space="preserve">Appraisers are responsible for providing to the </w:t>
      </w:r>
      <w:proofErr w:type="spellStart"/>
      <w:r w:rsidRPr="00AB59E6">
        <w:rPr>
          <w:rFonts w:ascii="Arial" w:hAnsi="Arial" w:cs="Arial"/>
        </w:rPr>
        <w:t>appraisee’s</w:t>
      </w:r>
      <w:proofErr w:type="spellEnd"/>
      <w:r w:rsidRPr="00AB59E6">
        <w:rPr>
          <w:rFonts w:ascii="Arial" w:hAnsi="Arial" w:cs="Arial"/>
        </w:rPr>
        <w:t xml:space="preserve"> Head of Department and Clinical Director, (or other appropriately senior post holders previously agreed), details of any action arising from the appraisal which is considered to be necessary. Heads of Department and Clinical Directors (or other senior post holders previously agreed) are then responsible for ensuring the necessary action is taken. Heads of Department, Clinical and Medical Directors are accountable to the Dean of the Medical School and the Chief Executive of the NHS partner body respectively for the outcome of the appraisal process. </w:t>
      </w:r>
    </w:p>
    <w:p w:rsidR="00E94834" w:rsidRPr="00AB59E6" w:rsidRDefault="00E94834" w:rsidP="00E94834">
      <w:pPr>
        <w:pStyle w:val="ListParagraph"/>
        <w:rPr>
          <w:rFonts w:ascii="Arial" w:hAnsi="Arial" w:cs="Arial"/>
        </w:rPr>
      </w:pPr>
    </w:p>
    <w:p w:rsidR="00E94834" w:rsidRPr="00AB59E6" w:rsidRDefault="00E94834" w:rsidP="00E94834">
      <w:pPr>
        <w:pStyle w:val="ListParagraph"/>
        <w:numPr>
          <w:ilvl w:val="1"/>
          <w:numId w:val="17"/>
        </w:numPr>
        <w:spacing w:line="240" w:lineRule="auto"/>
        <w:rPr>
          <w:rFonts w:ascii="Arial" w:hAnsi="Arial" w:cs="Arial"/>
        </w:rPr>
      </w:pPr>
      <w:r w:rsidRPr="00AB59E6">
        <w:rPr>
          <w:rFonts w:ascii="Arial" w:hAnsi="Arial" w:cs="Arial"/>
        </w:rPr>
        <w:t>The Vice-Chancellor (through delegation to the Dean of the Medical School if appropriate) is accountable to the University Council</w:t>
      </w:r>
      <w:r w:rsidRPr="00AB59E6">
        <w:rPr>
          <w:rFonts w:ascii="Arial" w:hAnsi="Arial" w:cs="Arial"/>
          <w:position w:val="8"/>
          <w:vertAlign w:val="superscript"/>
        </w:rPr>
        <w:t xml:space="preserve"> </w:t>
      </w:r>
      <w:r w:rsidRPr="00AB59E6">
        <w:rPr>
          <w:rFonts w:ascii="Arial" w:hAnsi="Arial" w:cs="Arial"/>
        </w:rPr>
        <w:t>and the Chief Executive of the NHS partner body to the board of the NHS Trust/Board for ensuring that all clinical academic staff are appraised and any follow up actions taken.</w:t>
      </w:r>
    </w:p>
    <w:p w:rsidR="00E94834" w:rsidRPr="00AB59E6" w:rsidRDefault="007D1BAA" w:rsidP="00E94834">
      <w:pPr>
        <w:pStyle w:val="Heading1"/>
        <w:numPr>
          <w:ilvl w:val="0"/>
          <w:numId w:val="17"/>
        </w:numPr>
        <w:rPr>
          <w:rFonts w:cs="Arial"/>
        </w:rPr>
      </w:pPr>
      <w:r w:rsidRPr="00AB59E6">
        <w:rPr>
          <w:rFonts w:cs="Arial"/>
        </w:rPr>
        <w:t>The appraisal meeting</w:t>
      </w:r>
    </w:p>
    <w:p w:rsidR="00E94834" w:rsidRPr="00AB59E6" w:rsidRDefault="00E94834" w:rsidP="00E94834">
      <w:pPr>
        <w:rPr>
          <w:rFonts w:ascii="Arial" w:hAnsi="Arial" w:cs="Arial"/>
        </w:rPr>
      </w:pPr>
    </w:p>
    <w:p w:rsidR="00E94834" w:rsidRPr="00AB59E6" w:rsidRDefault="00E94834" w:rsidP="00E94834">
      <w:pPr>
        <w:pStyle w:val="Default"/>
        <w:numPr>
          <w:ilvl w:val="1"/>
          <w:numId w:val="17"/>
        </w:numPr>
        <w:rPr>
          <w:color w:val="auto"/>
          <w:sz w:val="22"/>
          <w:szCs w:val="22"/>
        </w:rPr>
      </w:pPr>
      <w:r w:rsidRPr="00AB59E6">
        <w:rPr>
          <w:color w:val="auto"/>
          <w:sz w:val="22"/>
          <w:szCs w:val="22"/>
        </w:rPr>
        <w:t xml:space="preserve">This will be held in private between the </w:t>
      </w:r>
      <w:proofErr w:type="spellStart"/>
      <w:r w:rsidRPr="00AB59E6">
        <w:rPr>
          <w:color w:val="auto"/>
          <w:sz w:val="22"/>
          <w:szCs w:val="22"/>
        </w:rPr>
        <w:t>appraisee</w:t>
      </w:r>
      <w:proofErr w:type="spellEnd"/>
      <w:r w:rsidRPr="00AB59E6">
        <w:rPr>
          <w:color w:val="auto"/>
          <w:sz w:val="22"/>
          <w:szCs w:val="22"/>
        </w:rPr>
        <w:t xml:space="preserve"> and two appraisers. The individuals’ particular needs should be identified through the appraisal and addressed as appropriate in a personal development plan. The plan will provide a basis for review.</w:t>
      </w:r>
    </w:p>
    <w:p w:rsidR="00E94834" w:rsidRPr="00AB59E6" w:rsidRDefault="00E94834" w:rsidP="00E94834">
      <w:pPr>
        <w:pStyle w:val="Default"/>
        <w:rPr>
          <w:color w:val="auto"/>
          <w:sz w:val="22"/>
          <w:szCs w:val="22"/>
        </w:rPr>
      </w:pPr>
    </w:p>
    <w:p w:rsidR="00E94834" w:rsidRPr="00AB59E6" w:rsidRDefault="00E94834" w:rsidP="00E94834">
      <w:pPr>
        <w:pStyle w:val="Default"/>
        <w:numPr>
          <w:ilvl w:val="1"/>
          <w:numId w:val="17"/>
        </w:numPr>
        <w:rPr>
          <w:color w:val="auto"/>
          <w:sz w:val="22"/>
          <w:szCs w:val="22"/>
        </w:rPr>
      </w:pPr>
      <w:r w:rsidRPr="00AB59E6">
        <w:rPr>
          <w:color w:val="auto"/>
          <w:sz w:val="22"/>
          <w:szCs w:val="22"/>
        </w:rPr>
        <w:t xml:space="preserve">Key points of discussion and outcomes will be fully documented. Each individual will receive a copy of the documentation to consider. A final copy should be signed by all parties and this should be stored securely and in line with data protection requirements.  </w:t>
      </w:r>
    </w:p>
    <w:p w:rsidR="00E94834" w:rsidRPr="00AB59E6" w:rsidRDefault="00E94834" w:rsidP="00E94834">
      <w:pPr>
        <w:pStyle w:val="Default"/>
        <w:rPr>
          <w:color w:val="auto"/>
          <w:sz w:val="22"/>
          <w:szCs w:val="22"/>
        </w:rPr>
      </w:pPr>
    </w:p>
    <w:p w:rsidR="00E94834" w:rsidRPr="00AB59E6" w:rsidRDefault="00E94834" w:rsidP="00E94834">
      <w:pPr>
        <w:pStyle w:val="Default"/>
        <w:numPr>
          <w:ilvl w:val="1"/>
          <w:numId w:val="17"/>
        </w:numPr>
        <w:rPr>
          <w:color w:val="auto"/>
          <w:sz w:val="22"/>
          <w:szCs w:val="22"/>
        </w:rPr>
      </w:pPr>
      <w:r w:rsidRPr="00AB59E6">
        <w:rPr>
          <w:color w:val="auto"/>
          <w:sz w:val="22"/>
          <w:szCs w:val="22"/>
        </w:rPr>
        <w:t>Refusal of an academic to take part in joint appraisal will results in the application of disciplinary procedures and withholding of both employer based and clinical excellence awards.</w:t>
      </w:r>
    </w:p>
    <w:p w:rsidR="00AF40EB" w:rsidRPr="00AB59E6" w:rsidRDefault="007D1BAA" w:rsidP="00AF40EB">
      <w:pPr>
        <w:pStyle w:val="Heading1"/>
        <w:numPr>
          <w:ilvl w:val="0"/>
          <w:numId w:val="17"/>
        </w:numPr>
        <w:rPr>
          <w:rFonts w:cs="Arial"/>
        </w:rPr>
      </w:pPr>
      <w:r w:rsidRPr="00AB59E6">
        <w:rPr>
          <w:rFonts w:cs="Arial"/>
        </w:rPr>
        <w:t>Responsible officer</w:t>
      </w:r>
    </w:p>
    <w:p w:rsidR="00AF40EB" w:rsidRPr="00AB59E6" w:rsidRDefault="00AF40EB" w:rsidP="00AF40EB">
      <w:pPr>
        <w:rPr>
          <w:rFonts w:ascii="Arial" w:hAnsi="Arial" w:cs="Arial"/>
        </w:rPr>
      </w:pPr>
    </w:p>
    <w:p w:rsidR="00AF40EB" w:rsidRPr="00AB59E6" w:rsidRDefault="00AF40EB" w:rsidP="00AF40EB">
      <w:pPr>
        <w:pStyle w:val="ListParagraph"/>
        <w:numPr>
          <w:ilvl w:val="1"/>
          <w:numId w:val="17"/>
        </w:numPr>
        <w:autoSpaceDE w:val="0"/>
        <w:autoSpaceDN w:val="0"/>
        <w:adjustRightInd w:val="0"/>
        <w:spacing w:after="0" w:line="240" w:lineRule="auto"/>
        <w:jc w:val="both"/>
        <w:rPr>
          <w:rFonts w:ascii="Arial" w:hAnsi="Arial" w:cs="Arial"/>
          <w:color w:val="000000"/>
        </w:rPr>
      </w:pPr>
      <w:r w:rsidRPr="00AB59E6">
        <w:rPr>
          <w:rFonts w:ascii="Arial" w:hAnsi="Arial" w:cs="Arial"/>
          <w:color w:val="000000"/>
        </w:rPr>
        <w:t xml:space="preserve">Responsible officers, in England, are integral to improving the quality of care and ensuring a focus on the three core components of quality described in </w:t>
      </w:r>
      <w:r w:rsidRPr="00AB59E6">
        <w:rPr>
          <w:rFonts w:ascii="Arial" w:hAnsi="Arial" w:cs="Arial"/>
          <w:iCs/>
          <w:color w:val="000000"/>
        </w:rPr>
        <w:t>High quality care for all</w:t>
      </w:r>
      <w:r w:rsidRPr="00AB59E6">
        <w:rPr>
          <w:rFonts w:ascii="Arial" w:hAnsi="Arial" w:cs="Arial"/>
          <w:color w:val="000000"/>
        </w:rPr>
        <w:t xml:space="preserve">: </w:t>
      </w:r>
    </w:p>
    <w:p w:rsidR="00AF40EB" w:rsidRPr="00AB59E6" w:rsidRDefault="00AF40EB" w:rsidP="00AF40EB">
      <w:pPr>
        <w:pStyle w:val="ListParagraph"/>
        <w:rPr>
          <w:rFonts w:ascii="Arial" w:hAnsi="Arial" w:cs="Arial"/>
          <w:color w:val="000000"/>
        </w:rPr>
      </w:pPr>
    </w:p>
    <w:p w:rsidR="00AF40EB" w:rsidRPr="00AB59E6" w:rsidRDefault="00AF40EB" w:rsidP="00AF40EB">
      <w:pPr>
        <w:pStyle w:val="ListParagraph"/>
        <w:numPr>
          <w:ilvl w:val="1"/>
          <w:numId w:val="23"/>
        </w:numPr>
        <w:autoSpaceDE w:val="0"/>
        <w:autoSpaceDN w:val="0"/>
        <w:adjustRightInd w:val="0"/>
        <w:spacing w:after="0" w:line="240" w:lineRule="auto"/>
        <w:rPr>
          <w:rFonts w:ascii="Arial" w:hAnsi="Arial" w:cs="Arial"/>
          <w:color w:val="000000"/>
        </w:rPr>
      </w:pPr>
      <w:r w:rsidRPr="00AB59E6">
        <w:rPr>
          <w:rFonts w:ascii="Arial" w:hAnsi="Arial" w:cs="Arial"/>
          <w:b/>
          <w:bCs/>
          <w:color w:val="000000"/>
        </w:rPr>
        <w:t xml:space="preserve">Patient Safety </w:t>
      </w:r>
      <w:r w:rsidRPr="00AB59E6">
        <w:rPr>
          <w:rFonts w:ascii="Arial" w:hAnsi="Arial" w:cs="Arial"/>
          <w:color w:val="000000"/>
        </w:rPr>
        <w:t xml:space="preserve">– by ensuring that doctors are maintaining, and raising further, professional standards. </w:t>
      </w:r>
    </w:p>
    <w:p w:rsidR="00AF40EB" w:rsidRPr="00AB59E6" w:rsidRDefault="00AF40EB" w:rsidP="00AF40EB">
      <w:pPr>
        <w:pStyle w:val="ListParagraph"/>
        <w:numPr>
          <w:ilvl w:val="1"/>
          <w:numId w:val="23"/>
        </w:numPr>
        <w:autoSpaceDE w:val="0"/>
        <w:autoSpaceDN w:val="0"/>
        <w:adjustRightInd w:val="0"/>
        <w:spacing w:after="0" w:line="240" w:lineRule="auto"/>
        <w:rPr>
          <w:rFonts w:ascii="Arial" w:hAnsi="Arial" w:cs="Arial"/>
          <w:color w:val="000000"/>
        </w:rPr>
      </w:pPr>
      <w:r w:rsidRPr="00AB59E6">
        <w:rPr>
          <w:rFonts w:ascii="Arial" w:hAnsi="Arial" w:cs="Arial"/>
          <w:b/>
          <w:bCs/>
          <w:color w:val="000000"/>
        </w:rPr>
        <w:t xml:space="preserve">Effectiveness of care </w:t>
      </w:r>
      <w:r w:rsidRPr="00AB59E6">
        <w:rPr>
          <w:rFonts w:ascii="Arial" w:hAnsi="Arial" w:cs="Arial"/>
          <w:color w:val="000000"/>
        </w:rPr>
        <w:t xml:space="preserve">– by supporting professional ethos to improve further the effectiveness of clinical care. </w:t>
      </w:r>
    </w:p>
    <w:p w:rsidR="00AF40EB" w:rsidRPr="00AB59E6" w:rsidRDefault="00AF40EB" w:rsidP="00AF40EB">
      <w:pPr>
        <w:pStyle w:val="ListParagraph"/>
        <w:numPr>
          <w:ilvl w:val="1"/>
          <w:numId w:val="23"/>
        </w:numPr>
        <w:autoSpaceDE w:val="0"/>
        <w:autoSpaceDN w:val="0"/>
        <w:adjustRightInd w:val="0"/>
        <w:spacing w:after="0" w:line="240" w:lineRule="auto"/>
        <w:rPr>
          <w:rFonts w:ascii="Arial" w:hAnsi="Arial" w:cs="Arial"/>
          <w:color w:val="000000"/>
        </w:rPr>
      </w:pPr>
      <w:r w:rsidRPr="00AB59E6">
        <w:rPr>
          <w:rFonts w:ascii="Arial" w:hAnsi="Arial" w:cs="Arial"/>
          <w:b/>
          <w:bCs/>
          <w:color w:val="000000"/>
        </w:rPr>
        <w:t xml:space="preserve">Patient experience </w:t>
      </w:r>
      <w:r w:rsidRPr="00AB59E6">
        <w:rPr>
          <w:rFonts w:ascii="Arial" w:hAnsi="Arial" w:cs="Arial"/>
          <w:color w:val="000000"/>
        </w:rPr>
        <w:t xml:space="preserve">– by ensuring that patients’ views are integral to evaluations of a doctor’s fitness to practise. </w:t>
      </w:r>
    </w:p>
    <w:p w:rsidR="00AF40EB" w:rsidRPr="00AB59E6" w:rsidRDefault="00AF40EB" w:rsidP="00AF40EB">
      <w:pPr>
        <w:pStyle w:val="ListParagraph"/>
        <w:rPr>
          <w:rFonts w:ascii="Arial" w:hAnsi="Arial" w:cs="Arial"/>
          <w:color w:val="000000"/>
        </w:rPr>
      </w:pPr>
    </w:p>
    <w:p w:rsidR="007D44FB" w:rsidRPr="00AB59E6" w:rsidRDefault="00AF40EB" w:rsidP="007D44FB">
      <w:pPr>
        <w:pStyle w:val="ListParagraph"/>
        <w:numPr>
          <w:ilvl w:val="1"/>
          <w:numId w:val="17"/>
        </w:numPr>
        <w:autoSpaceDE w:val="0"/>
        <w:autoSpaceDN w:val="0"/>
        <w:adjustRightInd w:val="0"/>
        <w:spacing w:after="0" w:line="240" w:lineRule="auto"/>
        <w:jc w:val="both"/>
        <w:rPr>
          <w:rFonts w:ascii="Arial" w:hAnsi="Arial" w:cs="Arial"/>
          <w:color w:val="000000"/>
        </w:rPr>
      </w:pPr>
      <w:r w:rsidRPr="00AB59E6">
        <w:rPr>
          <w:rFonts w:ascii="Arial" w:hAnsi="Arial" w:cs="Arial"/>
          <w:color w:val="000000"/>
        </w:rPr>
        <w:t xml:space="preserve">In support of this, the responsible officer role will: </w:t>
      </w:r>
    </w:p>
    <w:p w:rsidR="007D44FB" w:rsidRPr="00AB59E6" w:rsidRDefault="007D44FB" w:rsidP="007D44FB">
      <w:pPr>
        <w:pStyle w:val="ListParagraph"/>
        <w:autoSpaceDE w:val="0"/>
        <w:autoSpaceDN w:val="0"/>
        <w:adjustRightInd w:val="0"/>
        <w:spacing w:after="0" w:line="240" w:lineRule="auto"/>
        <w:ind w:left="792"/>
        <w:jc w:val="both"/>
        <w:rPr>
          <w:rFonts w:ascii="Arial" w:hAnsi="Arial" w:cs="Arial"/>
          <w:color w:val="000000"/>
        </w:rPr>
      </w:pPr>
    </w:p>
    <w:p w:rsidR="007D44FB" w:rsidRPr="00AB59E6" w:rsidRDefault="007D44FB" w:rsidP="007D44FB">
      <w:pPr>
        <w:pStyle w:val="ListParagraph"/>
        <w:numPr>
          <w:ilvl w:val="1"/>
          <w:numId w:val="24"/>
        </w:numPr>
        <w:autoSpaceDE w:val="0"/>
        <w:autoSpaceDN w:val="0"/>
        <w:adjustRightInd w:val="0"/>
        <w:spacing w:after="0" w:line="240" w:lineRule="auto"/>
        <w:rPr>
          <w:rFonts w:ascii="Arial" w:hAnsi="Arial" w:cs="Arial"/>
          <w:color w:val="000000"/>
        </w:rPr>
      </w:pPr>
      <w:r w:rsidRPr="00AB59E6">
        <w:rPr>
          <w:rFonts w:ascii="Arial" w:hAnsi="Arial" w:cs="Arial"/>
          <w:color w:val="000000"/>
        </w:rPr>
        <w:t xml:space="preserve">ensure that those doctors who provide care continue to be safe; </w:t>
      </w:r>
    </w:p>
    <w:p w:rsidR="007D44FB" w:rsidRPr="00AB59E6" w:rsidRDefault="007D44FB" w:rsidP="007D44FB">
      <w:pPr>
        <w:pStyle w:val="ListParagraph"/>
        <w:numPr>
          <w:ilvl w:val="1"/>
          <w:numId w:val="24"/>
        </w:numPr>
        <w:autoSpaceDE w:val="0"/>
        <w:autoSpaceDN w:val="0"/>
        <w:adjustRightInd w:val="0"/>
        <w:spacing w:after="0" w:line="240" w:lineRule="auto"/>
        <w:rPr>
          <w:rFonts w:ascii="Arial" w:hAnsi="Arial" w:cs="Arial"/>
          <w:color w:val="000000"/>
        </w:rPr>
      </w:pPr>
      <w:r w:rsidRPr="00AB59E6">
        <w:rPr>
          <w:rFonts w:ascii="Arial" w:hAnsi="Arial" w:cs="Arial"/>
          <w:color w:val="000000"/>
        </w:rPr>
        <w:t xml:space="preserve">ensure doctors are properly supported and managed in sustaining and, where necessary, raising their professional standards; </w:t>
      </w:r>
    </w:p>
    <w:p w:rsidR="007D44FB" w:rsidRPr="00AB59E6" w:rsidRDefault="007D44FB" w:rsidP="007D44FB">
      <w:pPr>
        <w:pStyle w:val="ListParagraph"/>
        <w:numPr>
          <w:ilvl w:val="1"/>
          <w:numId w:val="24"/>
        </w:numPr>
        <w:autoSpaceDE w:val="0"/>
        <w:autoSpaceDN w:val="0"/>
        <w:adjustRightInd w:val="0"/>
        <w:spacing w:after="0" w:line="240" w:lineRule="auto"/>
        <w:rPr>
          <w:rFonts w:ascii="Arial" w:hAnsi="Arial" w:cs="Arial"/>
          <w:color w:val="000000"/>
        </w:rPr>
      </w:pPr>
      <w:r w:rsidRPr="00AB59E6">
        <w:rPr>
          <w:rFonts w:ascii="Arial" w:hAnsi="Arial" w:cs="Arial"/>
          <w:color w:val="000000"/>
        </w:rPr>
        <w:t xml:space="preserve">for the very small minority of doctors who fall short of the high professional standards expected, ensure that there are fair and effective local systems to identify them and ensure appropriate remedial, performance or regulatory action to safeguard patients; and </w:t>
      </w:r>
    </w:p>
    <w:p w:rsidR="007D44FB" w:rsidRPr="00AB59E6" w:rsidRDefault="007D44FB" w:rsidP="007D44FB">
      <w:pPr>
        <w:pStyle w:val="ListParagraph"/>
        <w:numPr>
          <w:ilvl w:val="1"/>
          <w:numId w:val="24"/>
        </w:numPr>
        <w:autoSpaceDE w:val="0"/>
        <w:autoSpaceDN w:val="0"/>
        <w:adjustRightInd w:val="0"/>
        <w:spacing w:after="0" w:line="240" w:lineRule="auto"/>
        <w:rPr>
          <w:rFonts w:ascii="Arial" w:hAnsi="Arial" w:cs="Arial"/>
          <w:color w:val="000000"/>
        </w:rPr>
      </w:pPr>
      <w:proofErr w:type="gramStart"/>
      <w:r w:rsidRPr="00AB59E6">
        <w:rPr>
          <w:rFonts w:ascii="Arial" w:hAnsi="Arial" w:cs="Arial"/>
          <w:color w:val="000000"/>
        </w:rPr>
        <w:t>increase</w:t>
      </w:r>
      <w:proofErr w:type="gramEnd"/>
      <w:r w:rsidRPr="00AB59E6">
        <w:rPr>
          <w:rFonts w:ascii="Arial" w:hAnsi="Arial" w:cs="Arial"/>
          <w:color w:val="000000"/>
        </w:rPr>
        <w:t xml:space="preserve"> public and professional confidence in the regulation of doctors. </w:t>
      </w:r>
    </w:p>
    <w:p w:rsidR="007D44FB" w:rsidRPr="00AB59E6" w:rsidRDefault="007D44FB" w:rsidP="007D44FB">
      <w:pPr>
        <w:pStyle w:val="ListParagraph"/>
        <w:autoSpaceDE w:val="0"/>
        <w:autoSpaceDN w:val="0"/>
        <w:adjustRightInd w:val="0"/>
        <w:spacing w:after="0" w:line="240" w:lineRule="auto"/>
        <w:ind w:left="792"/>
        <w:jc w:val="both"/>
        <w:rPr>
          <w:rFonts w:ascii="Arial" w:hAnsi="Arial" w:cs="Arial"/>
          <w:color w:val="000000"/>
        </w:rPr>
      </w:pPr>
    </w:p>
    <w:p w:rsidR="007D44FB" w:rsidRPr="00AB59E6" w:rsidRDefault="007D44FB" w:rsidP="007D44FB">
      <w:pPr>
        <w:pStyle w:val="ListParagraph"/>
        <w:numPr>
          <w:ilvl w:val="1"/>
          <w:numId w:val="17"/>
        </w:numPr>
        <w:autoSpaceDE w:val="0"/>
        <w:autoSpaceDN w:val="0"/>
        <w:adjustRightInd w:val="0"/>
        <w:spacing w:after="0" w:line="240" w:lineRule="auto"/>
        <w:rPr>
          <w:rFonts w:ascii="Arial" w:hAnsi="Arial" w:cs="Arial"/>
          <w:color w:val="000000"/>
        </w:rPr>
      </w:pPr>
      <w:r w:rsidRPr="00AB59E6">
        <w:rPr>
          <w:rFonts w:ascii="Arial" w:hAnsi="Arial" w:cs="Arial"/>
        </w:rPr>
        <w:t>T</w:t>
      </w:r>
      <w:r w:rsidR="00AF40EB" w:rsidRPr="00AB59E6">
        <w:rPr>
          <w:rFonts w:ascii="Arial" w:hAnsi="Arial" w:cs="Arial"/>
        </w:rPr>
        <w:t>o determine who is the appropriate responsible officer at each Trust (designated body)</w:t>
      </w:r>
      <w:r w:rsidRPr="00AB59E6">
        <w:rPr>
          <w:rFonts w:ascii="Arial" w:hAnsi="Arial" w:cs="Arial"/>
        </w:rPr>
        <w:t xml:space="preserve"> please follow this link: </w:t>
      </w:r>
    </w:p>
    <w:p w:rsidR="007D44FB" w:rsidRPr="00AB59E6" w:rsidRDefault="007D44FB" w:rsidP="007D44FB">
      <w:pPr>
        <w:pStyle w:val="ListParagraph"/>
        <w:autoSpaceDE w:val="0"/>
        <w:autoSpaceDN w:val="0"/>
        <w:adjustRightInd w:val="0"/>
        <w:spacing w:after="0" w:line="240" w:lineRule="auto"/>
        <w:ind w:left="792"/>
        <w:rPr>
          <w:rFonts w:ascii="Arial" w:hAnsi="Arial" w:cs="Arial"/>
        </w:rPr>
      </w:pPr>
    </w:p>
    <w:p w:rsidR="00AF40EB" w:rsidRPr="00AB59E6" w:rsidRDefault="007E1EBE" w:rsidP="007D44FB">
      <w:pPr>
        <w:pStyle w:val="ListParagraph"/>
        <w:autoSpaceDE w:val="0"/>
        <w:autoSpaceDN w:val="0"/>
        <w:adjustRightInd w:val="0"/>
        <w:spacing w:after="0" w:line="240" w:lineRule="auto"/>
        <w:ind w:left="792"/>
        <w:rPr>
          <w:rFonts w:ascii="Arial" w:hAnsi="Arial" w:cs="Arial"/>
        </w:rPr>
      </w:pPr>
      <w:hyperlink r:id="rId10" w:history="1">
        <w:r w:rsidR="007D44FB" w:rsidRPr="00AB59E6">
          <w:rPr>
            <w:rStyle w:val="Hyperlink"/>
            <w:rFonts w:ascii="Arial" w:hAnsi="Arial" w:cs="Arial"/>
            <w:color w:val="auto"/>
          </w:rPr>
          <w:t>http://www.gmc-uk.org/DB_list_with_RO_details___DC3503.pdf_52637845.pdf</w:t>
        </w:r>
      </w:hyperlink>
    </w:p>
    <w:p w:rsidR="00AF40EB" w:rsidRPr="00AB59E6" w:rsidRDefault="00AF40EB" w:rsidP="00AF40EB">
      <w:pPr>
        <w:pStyle w:val="ListParagraph"/>
        <w:autoSpaceDE w:val="0"/>
        <w:autoSpaceDN w:val="0"/>
        <w:adjustRightInd w:val="0"/>
        <w:spacing w:after="0" w:line="240" w:lineRule="auto"/>
        <w:ind w:left="792"/>
        <w:jc w:val="both"/>
        <w:rPr>
          <w:rFonts w:ascii="Arial" w:hAnsi="Arial" w:cs="Arial"/>
          <w:color w:val="000000"/>
        </w:rPr>
      </w:pPr>
    </w:p>
    <w:p w:rsidR="00AF40EB" w:rsidRPr="00AB59E6" w:rsidRDefault="00AF40EB" w:rsidP="00AF40EB">
      <w:pPr>
        <w:pStyle w:val="ListParagraph"/>
        <w:numPr>
          <w:ilvl w:val="1"/>
          <w:numId w:val="17"/>
        </w:numPr>
        <w:autoSpaceDE w:val="0"/>
        <w:autoSpaceDN w:val="0"/>
        <w:adjustRightInd w:val="0"/>
        <w:spacing w:after="0" w:line="240" w:lineRule="auto"/>
        <w:jc w:val="both"/>
        <w:rPr>
          <w:rFonts w:ascii="Arial" w:hAnsi="Arial" w:cs="Arial"/>
          <w:color w:val="000000"/>
        </w:rPr>
      </w:pPr>
      <w:r w:rsidRPr="00AB59E6">
        <w:rPr>
          <w:rFonts w:ascii="Arial" w:hAnsi="Arial" w:cs="Arial"/>
        </w:rPr>
        <w:t>The responsible officer will make recommendations to the GMC as to whether or not revalidation criteria have been met and a clinical academic is still fit to practice. Recommendations will be one of the following:</w:t>
      </w:r>
    </w:p>
    <w:p w:rsidR="00AF40EB" w:rsidRPr="00AB59E6" w:rsidRDefault="00AF40EB" w:rsidP="00AF40EB">
      <w:pPr>
        <w:pStyle w:val="ListParagraph"/>
        <w:rPr>
          <w:rFonts w:ascii="Arial" w:hAnsi="Arial" w:cs="Arial"/>
          <w:color w:val="000000"/>
        </w:rPr>
      </w:pPr>
    </w:p>
    <w:p w:rsidR="00AF40EB" w:rsidRPr="00AB59E6" w:rsidRDefault="00AF40EB" w:rsidP="00AF40EB">
      <w:pPr>
        <w:pStyle w:val="ListParagraph"/>
        <w:numPr>
          <w:ilvl w:val="0"/>
          <w:numId w:val="26"/>
        </w:numPr>
        <w:spacing w:line="240" w:lineRule="auto"/>
        <w:rPr>
          <w:rFonts w:ascii="Arial" w:hAnsi="Arial" w:cs="Arial"/>
          <w:color w:val="000000" w:themeColor="text1"/>
        </w:rPr>
      </w:pPr>
      <w:r w:rsidRPr="00AB59E6">
        <w:rPr>
          <w:rFonts w:ascii="Arial" w:eastAsia="Times New Roman" w:hAnsi="Arial" w:cs="Arial"/>
          <w:color w:val="000000" w:themeColor="text1"/>
          <w:lang w:val="en" w:eastAsia="en-GB"/>
        </w:rPr>
        <w:t>make a positive recommendation that the CA is up to date, fit to practice and should be revalidated (this will be the case for the vast majority of doctors)</w:t>
      </w:r>
    </w:p>
    <w:p w:rsidR="00AF40EB" w:rsidRPr="00AB59E6" w:rsidRDefault="00AF40EB" w:rsidP="00AF40EB">
      <w:pPr>
        <w:pStyle w:val="ListParagraph"/>
        <w:numPr>
          <w:ilvl w:val="0"/>
          <w:numId w:val="26"/>
        </w:numPr>
        <w:spacing w:after="0" w:line="240" w:lineRule="auto"/>
        <w:rPr>
          <w:rFonts w:ascii="Arial" w:eastAsia="Times New Roman" w:hAnsi="Arial" w:cs="Arial"/>
          <w:color w:val="000000" w:themeColor="text1"/>
          <w:lang w:val="en" w:eastAsia="en-GB"/>
        </w:rPr>
      </w:pPr>
      <w:proofErr w:type="gramStart"/>
      <w:r w:rsidRPr="00AB59E6">
        <w:rPr>
          <w:rFonts w:ascii="Arial" w:eastAsia="Times New Roman" w:hAnsi="Arial" w:cs="Arial"/>
          <w:color w:val="000000" w:themeColor="text1"/>
          <w:lang w:val="en" w:eastAsia="en-GB"/>
        </w:rPr>
        <w:t>request</w:t>
      </w:r>
      <w:proofErr w:type="gramEnd"/>
      <w:r w:rsidRPr="00AB59E6">
        <w:rPr>
          <w:rFonts w:ascii="Arial" w:eastAsia="Times New Roman" w:hAnsi="Arial" w:cs="Arial"/>
          <w:color w:val="000000" w:themeColor="text1"/>
          <w:lang w:val="en" w:eastAsia="en-GB"/>
        </w:rPr>
        <w:t xml:space="preserve"> a deferral because they need more time or information to make a recommendation about a CA. This might happen if an extended break from practice has been taken by a CA. Deferral does not affect a CA’s license to practice.</w:t>
      </w:r>
    </w:p>
    <w:p w:rsidR="00AF40EB" w:rsidRPr="00AB59E6" w:rsidRDefault="00AF40EB" w:rsidP="00AF40EB">
      <w:pPr>
        <w:pStyle w:val="ListParagraph"/>
        <w:numPr>
          <w:ilvl w:val="0"/>
          <w:numId w:val="26"/>
        </w:numPr>
        <w:spacing w:after="0" w:line="240" w:lineRule="auto"/>
        <w:rPr>
          <w:rFonts w:ascii="Arial" w:eastAsia="Times New Roman" w:hAnsi="Arial" w:cs="Arial"/>
          <w:color w:val="000000" w:themeColor="text1"/>
          <w:lang w:val="en" w:eastAsia="en-GB"/>
        </w:rPr>
      </w:pPr>
      <w:r w:rsidRPr="00AB59E6">
        <w:rPr>
          <w:rFonts w:ascii="Arial" w:eastAsia="Times New Roman" w:hAnsi="Arial" w:cs="Arial"/>
          <w:color w:val="000000" w:themeColor="text1"/>
          <w:lang w:val="en" w:eastAsia="en-GB"/>
        </w:rPr>
        <w:t>Notification to the GMC that a CA has failed to engage with appraisal or any other local systems or processes that support revalidation.</w:t>
      </w:r>
    </w:p>
    <w:p w:rsidR="00AF40EB" w:rsidRPr="00AB59E6" w:rsidRDefault="008E6E10" w:rsidP="00AF40EB">
      <w:pPr>
        <w:pStyle w:val="Heading1"/>
        <w:numPr>
          <w:ilvl w:val="0"/>
          <w:numId w:val="17"/>
        </w:numPr>
        <w:rPr>
          <w:rFonts w:cs="Arial"/>
        </w:rPr>
      </w:pPr>
      <w:r w:rsidRPr="00AB59E6">
        <w:rPr>
          <w:rFonts w:cs="Arial"/>
        </w:rPr>
        <w:t>Job plan</w:t>
      </w:r>
    </w:p>
    <w:p w:rsidR="00AF40EB" w:rsidRPr="00AB59E6" w:rsidRDefault="00AF40EB" w:rsidP="00AF40EB">
      <w:pPr>
        <w:rPr>
          <w:rFonts w:ascii="Arial" w:hAnsi="Arial" w:cs="Arial"/>
        </w:rPr>
      </w:pPr>
    </w:p>
    <w:p w:rsidR="00AF40EB" w:rsidRPr="00AB59E6" w:rsidRDefault="00AF40EB" w:rsidP="00AF40EB">
      <w:pPr>
        <w:pStyle w:val="ListParagraph"/>
        <w:numPr>
          <w:ilvl w:val="1"/>
          <w:numId w:val="17"/>
        </w:numPr>
        <w:spacing w:line="240" w:lineRule="auto"/>
        <w:rPr>
          <w:rFonts w:ascii="Arial" w:hAnsi="Arial" w:cs="Arial"/>
        </w:rPr>
      </w:pPr>
      <w:r w:rsidRPr="00AB59E6">
        <w:rPr>
          <w:rFonts w:ascii="Arial" w:hAnsi="Arial" w:cs="Arial"/>
        </w:rPr>
        <w:t>It would be usual for the job plan review to take place following the appraisal meeting as those required to be present to do this, will all be present at the appraisal meeting. Please see separate guidance on job plan reviews.</w:t>
      </w:r>
    </w:p>
    <w:p w:rsidR="00AF40EB" w:rsidRPr="00AB59E6" w:rsidRDefault="00D03155" w:rsidP="00AF40EB">
      <w:pPr>
        <w:pStyle w:val="Heading1"/>
        <w:numPr>
          <w:ilvl w:val="0"/>
          <w:numId w:val="17"/>
        </w:numPr>
        <w:rPr>
          <w:rFonts w:cs="Arial"/>
        </w:rPr>
      </w:pPr>
      <w:r w:rsidRPr="00AB59E6">
        <w:rPr>
          <w:rFonts w:cs="Arial"/>
        </w:rPr>
        <w:t>Outcomes of appraisal</w:t>
      </w:r>
    </w:p>
    <w:p w:rsidR="00AF40EB" w:rsidRPr="00AB59E6" w:rsidRDefault="00AF40EB" w:rsidP="00AF40EB">
      <w:pPr>
        <w:rPr>
          <w:rFonts w:ascii="Arial" w:hAnsi="Arial" w:cs="Arial"/>
        </w:rPr>
      </w:pPr>
    </w:p>
    <w:p w:rsidR="00AF40EB" w:rsidRPr="00AB59E6" w:rsidRDefault="00AF40EB" w:rsidP="00AF40EB">
      <w:pPr>
        <w:pStyle w:val="ListParagraph"/>
        <w:numPr>
          <w:ilvl w:val="1"/>
          <w:numId w:val="17"/>
        </w:numPr>
        <w:spacing w:line="240" w:lineRule="auto"/>
        <w:rPr>
          <w:rFonts w:ascii="Arial" w:hAnsi="Arial" w:cs="Arial"/>
        </w:rPr>
      </w:pPr>
      <w:r w:rsidRPr="00AB59E6">
        <w:rPr>
          <w:rFonts w:ascii="Arial" w:hAnsi="Arial" w:cs="Arial"/>
        </w:rPr>
        <w:t xml:space="preserve">As an outcome of the appraisal, key development objectives for the following year and subsequent years should be set. </w:t>
      </w:r>
      <w:proofErr w:type="gramStart"/>
      <w:r w:rsidRPr="00AB59E6">
        <w:rPr>
          <w:rFonts w:ascii="Arial" w:hAnsi="Arial" w:cs="Arial"/>
        </w:rPr>
        <w:t>This forms</w:t>
      </w:r>
      <w:proofErr w:type="gramEnd"/>
      <w:r w:rsidRPr="00AB59E6">
        <w:rPr>
          <w:rFonts w:ascii="Arial" w:hAnsi="Arial" w:cs="Arial"/>
        </w:rPr>
        <w:t xml:space="preserve"> the Clinical Academic’s personal development plan, a template for this is included with the appraisal form. These objectives may cover any aspect of the appraisal such as personal development needs, training goals, continuing medical education, continuing professional development and organisational issues.</w:t>
      </w:r>
    </w:p>
    <w:p w:rsidR="00022F6D" w:rsidRDefault="00022F6D">
      <w:pPr>
        <w:rPr>
          <w:rFonts w:ascii="Arial" w:hAnsi="Arial" w:cs="Arial"/>
        </w:rPr>
      </w:pPr>
      <w:r>
        <w:rPr>
          <w:rFonts w:ascii="Arial" w:hAnsi="Arial" w:cs="Arial"/>
        </w:rPr>
        <w:br w:type="page"/>
      </w:r>
    </w:p>
    <w:p w:rsidR="00F7722E" w:rsidRPr="00AB59E6" w:rsidRDefault="00033430" w:rsidP="00AF40EB">
      <w:pPr>
        <w:pStyle w:val="Heading1"/>
        <w:numPr>
          <w:ilvl w:val="0"/>
          <w:numId w:val="17"/>
        </w:numPr>
        <w:rPr>
          <w:rFonts w:cs="Arial"/>
        </w:rPr>
      </w:pPr>
      <w:r w:rsidRPr="00AB59E6">
        <w:rPr>
          <w:rFonts w:cs="Arial"/>
        </w:rPr>
        <w:t>Return of appraisal documentation</w:t>
      </w:r>
    </w:p>
    <w:p w:rsidR="00C55F7F" w:rsidRPr="00AB59E6" w:rsidRDefault="00C55F7F" w:rsidP="00C55F7F">
      <w:pPr>
        <w:rPr>
          <w:rFonts w:ascii="Arial" w:hAnsi="Arial" w:cs="Arial"/>
        </w:rPr>
      </w:pPr>
    </w:p>
    <w:p w:rsidR="00C55F7F" w:rsidRPr="00AB59E6" w:rsidRDefault="00C55F7F" w:rsidP="00C55F7F">
      <w:pPr>
        <w:pStyle w:val="ListParagraph"/>
        <w:numPr>
          <w:ilvl w:val="1"/>
          <w:numId w:val="17"/>
        </w:numPr>
        <w:spacing w:line="240" w:lineRule="auto"/>
        <w:rPr>
          <w:rFonts w:ascii="Arial" w:hAnsi="Arial" w:cs="Arial"/>
        </w:rPr>
      </w:pPr>
      <w:r w:rsidRPr="00AB59E6">
        <w:rPr>
          <w:rFonts w:ascii="Arial" w:hAnsi="Arial" w:cs="Arial"/>
        </w:rPr>
        <w:t>Upon completion a signed copy (by all three parties) of the appraisal should be returned to the medical school Human Resources Administrator</w:t>
      </w:r>
      <w:r w:rsidRPr="00AB59E6">
        <w:rPr>
          <w:rFonts w:ascii="Arial" w:hAnsi="Arial" w:cs="Arial"/>
          <w:color w:val="1F497D"/>
        </w:rPr>
        <w:t xml:space="preserve"> </w:t>
      </w:r>
      <w:r w:rsidRPr="00AB59E6">
        <w:rPr>
          <w:rFonts w:ascii="Arial" w:hAnsi="Arial" w:cs="Arial"/>
        </w:rPr>
        <w:t xml:space="preserve">based in Human Resources, Floor 3, Northcote House, </w:t>
      </w:r>
      <w:proofErr w:type="gramStart"/>
      <w:r w:rsidRPr="00AB59E6">
        <w:rPr>
          <w:rFonts w:ascii="Arial" w:hAnsi="Arial" w:cs="Arial"/>
        </w:rPr>
        <w:t>Streatham</w:t>
      </w:r>
      <w:proofErr w:type="gramEnd"/>
      <w:r w:rsidRPr="00AB59E6">
        <w:rPr>
          <w:rFonts w:ascii="Arial" w:hAnsi="Arial" w:cs="Arial"/>
        </w:rPr>
        <w:t xml:space="preserve"> Campus.</w:t>
      </w:r>
      <w:r w:rsidRPr="00AB59E6">
        <w:rPr>
          <w:rFonts w:ascii="Arial" w:hAnsi="Arial" w:cs="Arial"/>
          <w:color w:val="1F497D"/>
        </w:rPr>
        <w:t xml:space="preserve"> </w:t>
      </w:r>
      <w:r w:rsidRPr="00AB59E6">
        <w:rPr>
          <w:rFonts w:ascii="Arial" w:hAnsi="Arial" w:cs="Arial"/>
        </w:rPr>
        <w:t xml:space="preserve">In addition the following documents and information should be attached; </w:t>
      </w:r>
    </w:p>
    <w:p w:rsidR="00C55F7F" w:rsidRPr="00AB59E6" w:rsidRDefault="00C55F7F" w:rsidP="00C55F7F">
      <w:pPr>
        <w:pStyle w:val="ListParagraph"/>
        <w:spacing w:line="240" w:lineRule="auto"/>
        <w:ind w:left="792"/>
        <w:rPr>
          <w:rFonts w:ascii="Arial" w:hAnsi="Arial" w:cs="Arial"/>
        </w:rPr>
      </w:pPr>
    </w:p>
    <w:p w:rsidR="00C55F7F" w:rsidRPr="00AB59E6" w:rsidRDefault="00D063D5" w:rsidP="00C55F7F">
      <w:pPr>
        <w:pStyle w:val="ListParagraph"/>
        <w:numPr>
          <w:ilvl w:val="0"/>
          <w:numId w:val="27"/>
        </w:numPr>
        <w:spacing w:line="240" w:lineRule="auto"/>
        <w:contextualSpacing w:val="0"/>
        <w:rPr>
          <w:rFonts w:ascii="Arial" w:hAnsi="Arial" w:cs="Arial"/>
        </w:rPr>
      </w:pPr>
      <w:r>
        <w:rPr>
          <w:rFonts w:ascii="Arial" w:hAnsi="Arial" w:cs="Arial"/>
        </w:rPr>
        <w:t>A copy of the</w:t>
      </w:r>
      <w:r w:rsidR="00C55F7F" w:rsidRPr="00AB59E6">
        <w:rPr>
          <w:rFonts w:ascii="Arial" w:hAnsi="Arial" w:cs="Arial"/>
        </w:rPr>
        <w:t xml:space="preserve"> current job plan</w:t>
      </w:r>
    </w:p>
    <w:p w:rsidR="00C55F7F" w:rsidRPr="00AB59E6" w:rsidRDefault="00D063D5" w:rsidP="00C55F7F">
      <w:pPr>
        <w:pStyle w:val="ListParagraph"/>
        <w:numPr>
          <w:ilvl w:val="0"/>
          <w:numId w:val="27"/>
        </w:numPr>
        <w:spacing w:line="240" w:lineRule="auto"/>
        <w:contextualSpacing w:val="0"/>
        <w:rPr>
          <w:rFonts w:ascii="Arial" w:hAnsi="Arial" w:cs="Arial"/>
        </w:rPr>
      </w:pPr>
      <w:r>
        <w:rPr>
          <w:rFonts w:ascii="Arial" w:hAnsi="Arial" w:cs="Arial"/>
        </w:rPr>
        <w:t>A copy of the</w:t>
      </w:r>
      <w:r w:rsidR="00C55F7F" w:rsidRPr="00AB59E6">
        <w:rPr>
          <w:rFonts w:ascii="Arial" w:hAnsi="Arial" w:cs="Arial"/>
        </w:rPr>
        <w:t xml:space="preserve"> NHS Trust honorary contract</w:t>
      </w:r>
    </w:p>
    <w:p w:rsidR="00C55F7F" w:rsidRPr="00AB59E6" w:rsidRDefault="00D063D5" w:rsidP="00C55F7F">
      <w:pPr>
        <w:pStyle w:val="ListParagraph"/>
        <w:numPr>
          <w:ilvl w:val="0"/>
          <w:numId w:val="27"/>
        </w:numPr>
        <w:spacing w:line="240" w:lineRule="auto"/>
        <w:contextualSpacing w:val="0"/>
        <w:rPr>
          <w:rFonts w:ascii="Arial" w:hAnsi="Arial" w:cs="Arial"/>
        </w:rPr>
      </w:pPr>
      <w:r>
        <w:rPr>
          <w:rFonts w:ascii="Arial" w:hAnsi="Arial" w:cs="Arial"/>
        </w:rPr>
        <w:t>Name of the appropriate</w:t>
      </w:r>
      <w:r w:rsidR="00C55F7F" w:rsidRPr="00AB59E6">
        <w:rPr>
          <w:rFonts w:ascii="Arial" w:hAnsi="Arial" w:cs="Arial"/>
        </w:rPr>
        <w:t xml:space="preserve"> Responsible </w:t>
      </w:r>
      <w:r>
        <w:rPr>
          <w:rFonts w:ascii="Arial" w:hAnsi="Arial" w:cs="Arial"/>
        </w:rPr>
        <w:t>O</w:t>
      </w:r>
      <w:r w:rsidR="00C55F7F" w:rsidRPr="00AB59E6">
        <w:rPr>
          <w:rFonts w:ascii="Arial" w:hAnsi="Arial" w:cs="Arial"/>
        </w:rPr>
        <w:t>fficer for revalidation</w:t>
      </w:r>
    </w:p>
    <w:p w:rsidR="00C55F7F" w:rsidRPr="00AB59E6" w:rsidRDefault="00D063D5" w:rsidP="00C55F7F">
      <w:pPr>
        <w:pStyle w:val="ListParagraph"/>
        <w:numPr>
          <w:ilvl w:val="0"/>
          <w:numId w:val="27"/>
        </w:numPr>
        <w:spacing w:line="240" w:lineRule="auto"/>
        <w:contextualSpacing w:val="0"/>
        <w:rPr>
          <w:rFonts w:ascii="Arial" w:hAnsi="Arial" w:cs="Arial"/>
        </w:rPr>
      </w:pPr>
      <w:r>
        <w:rPr>
          <w:rFonts w:ascii="Arial" w:hAnsi="Arial" w:cs="Arial"/>
        </w:rPr>
        <w:t>R</w:t>
      </w:r>
      <w:r w:rsidR="00C55F7F" w:rsidRPr="00AB59E6">
        <w:rPr>
          <w:rFonts w:ascii="Arial" w:hAnsi="Arial" w:cs="Arial"/>
        </w:rPr>
        <w:t>evalidation date</w:t>
      </w:r>
    </w:p>
    <w:p w:rsidR="00C55F7F" w:rsidRPr="00AB59E6" w:rsidRDefault="00C55F7F" w:rsidP="00C55F7F">
      <w:pPr>
        <w:spacing w:line="240" w:lineRule="auto"/>
        <w:rPr>
          <w:rFonts w:ascii="Arial" w:hAnsi="Arial" w:cs="Arial"/>
        </w:rPr>
      </w:pPr>
    </w:p>
    <w:p w:rsidR="00607D5F" w:rsidRPr="00AB59E6" w:rsidRDefault="00607D5F" w:rsidP="00C55F7F">
      <w:pPr>
        <w:spacing w:line="240" w:lineRule="auto"/>
        <w:rPr>
          <w:rFonts w:ascii="Arial" w:hAnsi="Arial" w:cs="Arial"/>
        </w:rPr>
      </w:pPr>
    </w:p>
    <w:p w:rsidR="004255DB" w:rsidRPr="00AB59E6" w:rsidRDefault="004255DB" w:rsidP="00C96558">
      <w:pPr>
        <w:spacing w:line="240" w:lineRule="auto"/>
        <w:rPr>
          <w:rFonts w:ascii="Arial" w:hAnsi="Arial" w:cs="Arial"/>
          <w:b/>
        </w:rPr>
      </w:pPr>
    </w:p>
    <w:sectPr w:rsidR="004255DB" w:rsidRPr="00AB59E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F81" w:rsidRDefault="00082F81" w:rsidP="00082F81">
      <w:pPr>
        <w:spacing w:after="0" w:line="240" w:lineRule="auto"/>
      </w:pPr>
      <w:r>
        <w:separator/>
      </w:r>
    </w:p>
  </w:endnote>
  <w:endnote w:type="continuationSeparator" w:id="0">
    <w:p w:rsidR="00082F81" w:rsidRDefault="00082F81" w:rsidP="00082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A2" w:rsidRDefault="000A34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F81" w:rsidRDefault="00082F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A2" w:rsidRDefault="000A34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F81" w:rsidRDefault="00082F81" w:rsidP="00082F81">
      <w:pPr>
        <w:spacing w:after="0" w:line="240" w:lineRule="auto"/>
      </w:pPr>
      <w:r>
        <w:separator/>
      </w:r>
    </w:p>
  </w:footnote>
  <w:footnote w:type="continuationSeparator" w:id="0">
    <w:p w:rsidR="00082F81" w:rsidRDefault="00082F81" w:rsidP="00082F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A2" w:rsidRDefault="000A34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A2" w:rsidRDefault="000A34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4A2" w:rsidRDefault="000A34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1BD7"/>
    <w:multiLevelType w:val="hybridMultilevel"/>
    <w:tmpl w:val="8C74D3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AD3FF4"/>
    <w:multiLevelType w:val="hybridMultilevel"/>
    <w:tmpl w:val="8CA04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E65CBC"/>
    <w:multiLevelType w:val="hybridMultilevel"/>
    <w:tmpl w:val="DE4212DA"/>
    <w:lvl w:ilvl="0" w:tplc="08090005">
      <w:start w:val="1"/>
      <w:numFmt w:val="bullet"/>
      <w:lvlText w:val=""/>
      <w:lvlJc w:val="left"/>
      <w:pPr>
        <w:ind w:left="1799" w:hanging="360"/>
      </w:pPr>
      <w:rPr>
        <w:rFonts w:ascii="Wingdings" w:hAnsi="Wingdings" w:hint="default"/>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3">
    <w:nsid w:val="21AB4AA1"/>
    <w:multiLevelType w:val="hybridMultilevel"/>
    <w:tmpl w:val="CBDE7A12"/>
    <w:lvl w:ilvl="0" w:tplc="0809000F">
      <w:start w:val="5"/>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278B3F84"/>
    <w:multiLevelType w:val="hybridMultilevel"/>
    <w:tmpl w:val="2CD419CE"/>
    <w:lvl w:ilvl="0" w:tplc="0CBCCF10">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D2D4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EA533BC"/>
    <w:multiLevelType w:val="hybridMultilevel"/>
    <w:tmpl w:val="D832A0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AD66E0A"/>
    <w:multiLevelType w:val="hybridMultilevel"/>
    <w:tmpl w:val="7682B84E"/>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B706BDD"/>
    <w:multiLevelType w:val="hybridMultilevel"/>
    <w:tmpl w:val="7E02A7AA"/>
    <w:lvl w:ilvl="0" w:tplc="A1884CC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2BD0F75"/>
    <w:multiLevelType w:val="multilevel"/>
    <w:tmpl w:val="C074AE7E"/>
    <w:lvl w:ilvl="0">
      <w:start w:val="1"/>
      <w:numFmt w:val="bullet"/>
      <w:lvlText w:val=""/>
      <w:lvlJc w:val="left"/>
      <w:pPr>
        <w:tabs>
          <w:tab w:val="num" w:pos="900"/>
        </w:tabs>
        <w:ind w:left="900" w:hanging="360"/>
      </w:pPr>
      <w:rPr>
        <w:rFonts w:ascii="Symbol" w:hAnsi="Symbol" w:hint="default"/>
      </w:rPr>
    </w:lvl>
    <w:lvl w:ilvl="1">
      <w:start w:val="1"/>
      <w:numFmt w:val="decimal"/>
      <w:isLgl/>
      <w:lvlText w:val="%1.%2"/>
      <w:lvlJc w:val="left"/>
      <w:pPr>
        <w:tabs>
          <w:tab w:val="num" w:pos="1020"/>
        </w:tabs>
        <w:ind w:left="1020" w:hanging="48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0">
    <w:nsid w:val="52D322C9"/>
    <w:multiLevelType w:val="hybridMultilevel"/>
    <w:tmpl w:val="5AA84D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53B04F55"/>
    <w:multiLevelType w:val="hybridMultilevel"/>
    <w:tmpl w:val="6C5A40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5640239C"/>
    <w:multiLevelType w:val="hybridMultilevel"/>
    <w:tmpl w:val="970C2DE6"/>
    <w:lvl w:ilvl="0" w:tplc="08090005">
      <w:start w:val="1"/>
      <w:numFmt w:val="bullet"/>
      <w:lvlText w:val=""/>
      <w:lvlJc w:val="left"/>
      <w:pPr>
        <w:ind w:left="720" w:hanging="360"/>
      </w:pPr>
      <w:rPr>
        <w:rFonts w:ascii="Wingdings" w:hAnsi="Wingdings" w:hint="default"/>
      </w:rPr>
    </w:lvl>
    <w:lvl w:ilvl="1" w:tplc="BB58B540">
      <w:numFmt w:val="bullet"/>
      <w:lvlText w:val="•"/>
      <w:lvlJc w:val="left"/>
      <w:pPr>
        <w:ind w:left="1440" w:hanging="360"/>
      </w:pPr>
      <w:rPr>
        <w:rFonts w:ascii="Calibri" w:eastAsiaTheme="minorHAnsi" w:hAnsi="Calibri"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6BB1601"/>
    <w:multiLevelType w:val="multilevel"/>
    <w:tmpl w:val="AB5ED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DC581B"/>
    <w:multiLevelType w:val="hybridMultilevel"/>
    <w:tmpl w:val="E89A1B32"/>
    <w:lvl w:ilvl="0" w:tplc="0809000F">
      <w:start w:val="1"/>
      <w:numFmt w:val="decimal"/>
      <w:lvlText w:val="%1."/>
      <w:lvlJc w:val="left"/>
      <w:pPr>
        <w:ind w:left="720" w:hanging="360"/>
      </w:pPr>
    </w:lvl>
    <w:lvl w:ilvl="1" w:tplc="BB58B540">
      <w:numFmt w:val="bullet"/>
      <w:lvlText w:val="•"/>
      <w:lvlJc w:val="left"/>
      <w:pPr>
        <w:ind w:left="1440" w:hanging="360"/>
      </w:pPr>
      <w:rPr>
        <w:rFonts w:ascii="Calibri" w:eastAsiaTheme="minorHAnsi" w:hAnsi="Calibri"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3823C4"/>
    <w:multiLevelType w:val="hybridMultilevel"/>
    <w:tmpl w:val="BD002414"/>
    <w:lvl w:ilvl="0" w:tplc="08090005">
      <w:start w:val="1"/>
      <w:numFmt w:val="bullet"/>
      <w:lvlText w:val=""/>
      <w:lvlJc w:val="left"/>
      <w:pPr>
        <w:ind w:left="1259" w:hanging="360"/>
      </w:pPr>
      <w:rPr>
        <w:rFonts w:ascii="Wingdings" w:hAnsi="Wingdings"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6">
    <w:nsid w:val="62216995"/>
    <w:multiLevelType w:val="hybridMultilevel"/>
    <w:tmpl w:val="7E44813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nsid w:val="669C39EA"/>
    <w:multiLevelType w:val="hybridMultilevel"/>
    <w:tmpl w:val="EAEAB98E"/>
    <w:lvl w:ilvl="0" w:tplc="08090001">
      <w:start w:val="1"/>
      <w:numFmt w:val="bullet"/>
      <w:lvlText w:val=""/>
      <w:lvlJc w:val="left"/>
      <w:pPr>
        <w:ind w:left="1799" w:hanging="360"/>
      </w:pPr>
      <w:rPr>
        <w:rFonts w:ascii="Symbol" w:hAnsi="Symbol" w:hint="default"/>
      </w:rPr>
    </w:lvl>
    <w:lvl w:ilvl="1" w:tplc="08090003" w:tentative="1">
      <w:start w:val="1"/>
      <w:numFmt w:val="bullet"/>
      <w:lvlText w:val="o"/>
      <w:lvlJc w:val="left"/>
      <w:pPr>
        <w:ind w:left="2519" w:hanging="360"/>
      </w:pPr>
      <w:rPr>
        <w:rFonts w:ascii="Courier New" w:hAnsi="Courier New" w:cs="Courier New" w:hint="default"/>
      </w:rPr>
    </w:lvl>
    <w:lvl w:ilvl="2" w:tplc="08090005" w:tentative="1">
      <w:start w:val="1"/>
      <w:numFmt w:val="bullet"/>
      <w:lvlText w:val=""/>
      <w:lvlJc w:val="left"/>
      <w:pPr>
        <w:ind w:left="3239" w:hanging="360"/>
      </w:pPr>
      <w:rPr>
        <w:rFonts w:ascii="Wingdings" w:hAnsi="Wingdings" w:hint="default"/>
      </w:rPr>
    </w:lvl>
    <w:lvl w:ilvl="3" w:tplc="08090001" w:tentative="1">
      <w:start w:val="1"/>
      <w:numFmt w:val="bullet"/>
      <w:lvlText w:val=""/>
      <w:lvlJc w:val="left"/>
      <w:pPr>
        <w:ind w:left="3959" w:hanging="360"/>
      </w:pPr>
      <w:rPr>
        <w:rFonts w:ascii="Symbol" w:hAnsi="Symbol" w:hint="default"/>
      </w:rPr>
    </w:lvl>
    <w:lvl w:ilvl="4" w:tplc="08090003" w:tentative="1">
      <w:start w:val="1"/>
      <w:numFmt w:val="bullet"/>
      <w:lvlText w:val="o"/>
      <w:lvlJc w:val="left"/>
      <w:pPr>
        <w:ind w:left="4679" w:hanging="360"/>
      </w:pPr>
      <w:rPr>
        <w:rFonts w:ascii="Courier New" w:hAnsi="Courier New" w:cs="Courier New" w:hint="default"/>
      </w:rPr>
    </w:lvl>
    <w:lvl w:ilvl="5" w:tplc="08090005" w:tentative="1">
      <w:start w:val="1"/>
      <w:numFmt w:val="bullet"/>
      <w:lvlText w:val=""/>
      <w:lvlJc w:val="left"/>
      <w:pPr>
        <w:ind w:left="5399" w:hanging="360"/>
      </w:pPr>
      <w:rPr>
        <w:rFonts w:ascii="Wingdings" w:hAnsi="Wingdings" w:hint="default"/>
      </w:rPr>
    </w:lvl>
    <w:lvl w:ilvl="6" w:tplc="08090001" w:tentative="1">
      <w:start w:val="1"/>
      <w:numFmt w:val="bullet"/>
      <w:lvlText w:val=""/>
      <w:lvlJc w:val="left"/>
      <w:pPr>
        <w:ind w:left="6119" w:hanging="360"/>
      </w:pPr>
      <w:rPr>
        <w:rFonts w:ascii="Symbol" w:hAnsi="Symbol" w:hint="default"/>
      </w:rPr>
    </w:lvl>
    <w:lvl w:ilvl="7" w:tplc="08090003" w:tentative="1">
      <w:start w:val="1"/>
      <w:numFmt w:val="bullet"/>
      <w:lvlText w:val="o"/>
      <w:lvlJc w:val="left"/>
      <w:pPr>
        <w:ind w:left="6839" w:hanging="360"/>
      </w:pPr>
      <w:rPr>
        <w:rFonts w:ascii="Courier New" w:hAnsi="Courier New" w:cs="Courier New" w:hint="default"/>
      </w:rPr>
    </w:lvl>
    <w:lvl w:ilvl="8" w:tplc="08090005" w:tentative="1">
      <w:start w:val="1"/>
      <w:numFmt w:val="bullet"/>
      <w:lvlText w:val=""/>
      <w:lvlJc w:val="left"/>
      <w:pPr>
        <w:ind w:left="7559" w:hanging="360"/>
      </w:pPr>
      <w:rPr>
        <w:rFonts w:ascii="Wingdings" w:hAnsi="Wingdings" w:hint="default"/>
      </w:rPr>
    </w:lvl>
  </w:abstractNum>
  <w:abstractNum w:abstractNumId="18">
    <w:nsid w:val="69BC1AFF"/>
    <w:multiLevelType w:val="multilevel"/>
    <w:tmpl w:val="B2E4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377C80"/>
    <w:multiLevelType w:val="multilevel"/>
    <w:tmpl w:val="FDC06566"/>
    <w:lvl w:ilvl="0">
      <w:start w:val="1"/>
      <w:numFmt w:val="bullet"/>
      <w:lvlText w:val=""/>
      <w:lvlJc w:val="left"/>
      <w:pPr>
        <w:tabs>
          <w:tab w:val="num" w:pos="900"/>
        </w:tabs>
        <w:ind w:left="900" w:hanging="360"/>
      </w:pPr>
      <w:rPr>
        <w:rFonts w:ascii="Wingdings" w:hAnsi="Wingdings" w:hint="default"/>
      </w:rPr>
    </w:lvl>
    <w:lvl w:ilvl="1">
      <w:start w:val="1"/>
      <w:numFmt w:val="decimal"/>
      <w:isLgl/>
      <w:lvlText w:val="%1.%2"/>
      <w:lvlJc w:val="left"/>
      <w:pPr>
        <w:tabs>
          <w:tab w:val="num" w:pos="1020"/>
        </w:tabs>
        <w:ind w:left="1020" w:hanging="48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0">
    <w:nsid w:val="6DB34484"/>
    <w:multiLevelType w:val="hybridMultilevel"/>
    <w:tmpl w:val="8DB8624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DEA76AA"/>
    <w:multiLevelType w:val="hybridMultilevel"/>
    <w:tmpl w:val="68B0A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0E00F2F"/>
    <w:multiLevelType w:val="hybridMultilevel"/>
    <w:tmpl w:val="4B1E51A2"/>
    <w:lvl w:ilvl="0" w:tplc="08090005">
      <w:start w:val="1"/>
      <w:numFmt w:val="bullet"/>
      <w:lvlText w:val=""/>
      <w:lvlJc w:val="left"/>
      <w:pPr>
        <w:ind w:left="72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nsid w:val="735B3C1C"/>
    <w:multiLevelType w:val="hybridMultilevel"/>
    <w:tmpl w:val="72BAC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4C32F92"/>
    <w:multiLevelType w:val="hybridMultilevel"/>
    <w:tmpl w:val="8200BF24"/>
    <w:lvl w:ilvl="0" w:tplc="0809000F">
      <w:start w:val="1"/>
      <w:numFmt w:val="decimal"/>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724585"/>
    <w:multiLevelType w:val="hybridMultilevel"/>
    <w:tmpl w:val="86F4A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EF314F7"/>
    <w:multiLevelType w:val="hybridMultilevel"/>
    <w:tmpl w:val="06B81660"/>
    <w:lvl w:ilvl="0" w:tplc="0809000F">
      <w:start w:val="1"/>
      <w:numFmt w:val="decimal"/>
      <w:lvlText w:val="%1."/>
      <w:lvlJc w:val="left"/>
      <w:pPr>
        <w:ind w:left="720" w:hanging="360"/>
      </w:pPr>
    </w:lvl>
    <w:lvl w:ilvl="1" w:tplc="08090005">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3"/>
  </w:num>
  <w:num w:numId="3">
    <w:abstractNumId w:val="14"/>
  </w:num>
  <w:num w:numId="4">
    <w:abstractNumId w:val="0"/>
  </w:num>
  <w:num w:numId="5">
    <w:abstractNumId w:val="18"/>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 w:numId="9">
    <w:abstractNumId w:val="8"/>
  </w:num>
  <w:num w:numId="10">
    <w:abstractNumId w:val="13"/>
  </w:num>
  <w:num w:numId="11">
    <w:abstractNumId w:val="16"/>
  </w:num>
  <w:num w:numId="12">
    <w:abstractNumId w:val="1"/>
  </w:num>
  <w:num w:numId="13">
    <w:abstractNumId w:val="17"/>
  </w:num>
  <w:num w:numId="14">
    <w:abstractNumId w:val="25"/>
  </w:num>
  <w:num w:numId="15">
    <w:abstractNumId w:val="11"/>
  </w:num>
  <w:num w:numId="16">
    <w:abstractNumId w:val="21"/>
  </w:num>
  <w:num w:numId="17">
    <w:abstractNumId w:val="5"/>
  </w:num>
  <w:num w:numId="18">
    <w:abstractNumId w:val="19"/>
  </w:num>
  <w:num w:numId="19">
    <w:abstractNumId w:val="15"/>
  </w:num>
  <w:num w:numId="20">
    <w:abstractNumId w:val="12"/>
  </w:num>
  <w:num w:numId="21">
    <w:abstractNumId w:val="7"/>
  </w:num>
  <w:num w:numId="22">
    <w:abstractNumId w:val="2"/>
  </w:num>
  <w:num w:numId="23">
    <w:abstractNumId w:val="24"/>
  </w:num>
  <w:num w:numId="24">
    <w:abstractNumId w:val="26"/>
  </w:num>
  <w:num w:numId="25">
    <w:abstractNumId w:val="6"/>
  </w:num>
  <w:num w:numId="26">
    <w:abstractNumId w:val="20"/>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EEA"/>
    <w:rsid w:val="00022F6D"/>
    <w:rsid w:val="00031289"/>
    <w:rsid w:val="00033430"/>
    <w:rsid w:val="000420C2"/>
    <w:rsid w:val="00046604"/>
    <w:rsid w:val="000472E8"/>
    <w:rsid w:val="00054017"/>
    <w:rsid w:val="00067D6D"/>
    <w:rsid w:val="000720AD"/>
    <w:rsid w:val="00082F81"/>
    <w:rsid w:val="000A34A2"/>
    <w:rsid w:val="0010328C"/>
    <w:rsid w:val="00115D9D"/>
    <w:rsid w:val="0013748D"/>
    <w:rsid w:val="00152689"/>
    <w:rsid w:val="001572F2"/>
    <w:rsid w:val="00157C23"/>
    <w:rsid w:val="00171D90"/>
    <w:rsid w:val="001823FE"/>
    <w:rsid w:val="00191251"/>
    <w:rsid w:val="001F21AC"/>
    <w:rsid w:val="00213162"/>
    <w:rsid w:val="0023354A"/>
    <w:rsid w:val="002657D4"/>
    <w:rsid w:val="00265E1D"/>
    <w:rsid w:val="0028548C"/>
    <w:rsid w:val="00286A90"/>
    <w:rsid w:val="00287D49"/>
    <w:rsid w:val="002D120B"/>
    <w:rsid w:val="0033406A"/>
    <w:rsid w:val="003462F0"/>
    <w:rsid w:val="00361343"/>
    <w:rsid w:val="00371022"/>
    <w:rsid w:val="003B5C47"/>
    <w:rsid w:val="003D198D"/>
    <w:rsid w:val="003D4F47"/>
    <w:rsid w:val="003F0F9C"/>
    <w:rsid w:val="003F4371"/>
    <w:rsid w:val="0040605F"/>
    <w:rsid w:val="004255DB"/>
    <w:rsid w:val="00432707"/>
    <w:rsid w:val="004718C6"/>
    <w:rsid w:val="00475879"/>
    <w:rsid w:val="00480C23"/>
    <w:rsid w:val="004F26A9"/>
    <w:rsid w:val="00507AA4"/>
    <w:rsid w:val="00511D49"/>
    <w:rsid w:val="00513F5A"/>
    <w:rsid w:val="0054728B"/>
    <w:rsid w:val="005502FB"/>
    <w:rsid w:val="0057458B"/>
    <w:rsid w:val="005B05F0"/>
    <w:rsid w:val="005C64E9"/>
    <w:rsid w:val="005D33A6"/>
    <w:rsid w:val="006061D0"/>
    <w:rsid w:val="00607D5F"/>
    <w:rsid w:val="00655EE2"/>
    <w:rsid w:val="00666C46"/>
    <w:rsid w:val="0066731F"/>
    <w:rsid w:val="006754DF"/>
    <w:rsid w:val="00677FAE"/>
    <w:rsid w:val="006840C2"/>
    <w:rsid w:val="0069114E"/>
    <w:rsid w:val="006B0850"/>
    <w:rsid w:val="006E2048"/>
    <w:rsid w:val="00734FC8"/>
    <w:rsid w:val="007449A0"/>
    <w:rsid w:val="007A4D93"/>
    <w:rsid w:val="007A5004"/>
    <w:rsid w:val="007A62C7"/>
    <w:rsid w:val="007B1F26"/>
    <w:rsid w:val="007B715F"/>
    <w:rsid w:val="007C71C8"/>
    <w:rsid w:val="007D1BAA"/>
    <w:rsid w:val="007D44FB"/>
    <w:rsid w:val="007D543F"/>
    <w:rsid w:val="007E1EBE"/>
    <w:rsid w:val="007E6D9F"/>
    <w:rsid w:val="007F3B53"/>
    <w:rsid w:val="00844159"/>
    <w:rsid w:val="008649C4"/>
    <w:rsid w:val="008B0010"/>
    <w:rsid w:val="008B1651"/>
    <w:rsid w:val="008B3E72"/>
    <w:rsid w:val="008D598D"/>
    <w:rsid w:val="008E02FB"/>
    <w:rsid w:val="008E622F"/>
    <w:rsid w:val="008E6E10"/>
    <w:rsid w:val="00901BD1"/>
    <w:rsid w:val="00945402"/>
    <w:rsid w:val="00950A7A"/>
    <w:rsid w:val="009544CB"/>
    <w:rsid w:val="00982835"/>
    <w:rsid w:val="009C2EF5"/>
    <w:rsid w:val="009E7C2A"/>
    <w:rsid w:val="009F76D8"/>
    <w:rsid w:val="00A011B3"/>
    <w:rsid w:val="00A57D9C"/>
    <w:rsid w:val="00A62267"/>
    <w:rsid w:val="00AB59E6"/>
    <w:rsid w:val="00AC5D42"/>
    <w:rsid w:val="00AF40EB"/>
    <w:rsid w:val="00AF7E71"/>
    <w:rsid w:val="00B30F03"/>
    <w:rsid w:val="00B40066"/>
    <w:rsid w:val="00B5413E"/>
    <w:rsid w:val="00B7759C"/>
    <w:rsid w:val="00BB118E"/>
    <w:rsid w:val="00BC0013"/>
    <w:rsid w:val="00C23025"/>
    <w:rsid w:val="00C24E16"/>
    <w:rsid w:val="00C44BFA"/>
    <w:rsid w:val="00C455D9"/>
    <w:rsid w:val="00C55F7F"/>
    <w:rsid w:val="00C96558"/>
    <w:rsid w:val="00CC624C"/>
    <w:rsid w:val="00CE074F"/>
    <w:rsid w:val="00D03155"/>
    <w:rsid w:val="00D063D5"/>
    <w:rsid w:val="00D233EE"/>
    <w:rsid w:val="00D67033"/>
    <w:rsid w:val="00D70ED6"/>
    <w:rsid w:val="00DB1EEA"/>
    <w:rsid w:val="00DF1D68"/>
    <w:rsid w:val="00E24683"/>
    <w:rsid w:val="00E3338C"/>
    <w:rsid w:val="00E443AA"/>
    <w:rsid w:val="00E461FC"/>
    <w:rsid w:val="00E461FD"/>
    <w:rsid w:val="00E666A4"/>
    <w:rsid w:val="00E94834"/>
    <w:rsid w:val="00EE71A1"/>
    <w:rsid w:val="00F0677B"/>
    <w:rsid w:val="00F47AEB"/>
    <w:rsid w:val="00F67B17"/>
    <w:rsid w:val="00F7722E"/>
    <w:rsid w:val="00F7727E"/>
    <w:rsid w:val="00FE1157"/>
    <w:rsid w:val="00FE3B84"/>
    <w:rsid w:val="00FE3D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7C23"/>
    <w:pPr>
      <w:keepNext/>
      <w:keepLines/>
      <w:spacing w:before="480" w:after="0"/>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048"/>
    <w:pPr>
      <w:ind w:left="720"/>
      <w:contextualSpacing/>
    </w:pPr>
  </w:style>
  <w:style w:type="paragraph" w:styleId="Header">
    <w:name w:val="header"/>
    <w:basedOn w:val="Normal"/>
    <w:link w:val="HeaderChar"/>
    <w:uiPriority w:val="99"/>
    <w:unhideWhenUsed/>
    <w:rsid w:val="00082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F81"/>
  </w:style>
  <w:style w:type="paragraph" w:styleId="Footer">
    <w:name w:val="footer"/>
    <w:basedOn w:val="Normal"/>
    <w:link w:val="FooterChar"/>
    <w:uiPriority w:val="99"/>
    <w:unhideWhenUsed/>
    <w:rsid w:val="00082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F81"/>
  </w:style>
  <w:style w:type="character" w:styleId="CommentReference">
    <w:name w:val="annotation reference"/>
    <w:basedOn w:val="DefaultParagraphFont"/>
    <w:uiPriority w:val="99"/>
    <w:unhideWhenUsed/>
    <w:rsid w:val="0028548C"/>
    <w:rPr>
      <w:sz w:val="16"/>
      <w:szCs w:val="16"/>
    </w:rPr>
  </w:style>
  <w:style w:type="paragraph" w:styleId="CommentText">
    <w:name w:val="annotation text"/>
    <w:basedOn w:val="Normal"/>
    <w:link w:val="CommentTextChar"/>
    <w:uiPriority w:val="99"/>
    <w:semiHidden/>
    <w:unhideWhenUsed/>
    <w:rsid w:val="0028548C"/>
    <w:pPr>
      <w:spacing w:line="240" w:lineRule="auto"/>
    </w:pPr>
    <w:rPr>
      <w:sz w:val="20"/>
      <w:szCs w:val="20"/>
    </w:rPr>
  </w:style>
  <w:style w:type="character" w:customStyle="1" w:styleId="CommentTextChar">
    <w:name w:val="Comment Text Char"/>
    <w:basedOn w:val="DefaultParagraphFont"/>
    <w:link w:val="CommentText"/>
    <w:uiPriority w:val="99"/>
    <w:semiHidden/>
    <w:rsid w:val="0028548C"/>
    <w:rPr>
      <w:sz w:val="20"/>
      <w:szCs w:val="20"/>
    </w:rPr>
  </w:style>
  <w:style w:type="paragraph" w:styleId="CommentSubject">
    <w:name w:val="annotation subject"/>
    <w:basedOn w:val="CommentText"/>
    <w:next w:val="CommentText"/>
    <w:link w:val="CommentSubjectChar"/>
    <w:uiPriority w:val="99"/>
    <w:semiHidden/>
    <w:unhideWhenUsed/>
    <w:rsid w:val="0028548C"/>
    <w:rPr>
      <w:b/>
      <w:bCs/>
    </w:rPr>
  </w:style>
  <w:style w:type="character" w:customStyle="1" w:styleId="CommentSubjectChar">
    <w:name w:val="Comment Subject Char"/>
    <w:basedOn w:val="CommentTextChar"/>
    <w:link w:val="CommentSubject"/>
    <w:uiPriority w:val="99"/>
    <w:semiHidden/>
    <w:rsid w:val="0028548C"/>
    <w:rPr>
      <w:b/>
      <w:bCs/>
      <w:sz w:val="20"/>
      <w:szCs w:val="20"/>
    </w:rPr>
  </w:style>
  <w:style w:type="paragraph" w:styleId="BalloonText">
    <w:name w:val="Balloon Text"/>
    <w:basedOn w:val="Normal"/>
    <w:link w:val="BalloonTextChar"/>
    <w:uiPriority w:val="99"/>
    <w:semiHidden/>
    <w:unhideWhenUsed/>
    <w:rsid w:val="00285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48C"/>
    <w:rPr>
      <w:rFonts w:ascii="Tahoma" w:hAnsi="Tahoma" w:cs="Tahoma"/>
      <w:sz w:val="16"/>
      <w:szCs w:val="16"/>
    </w:rPr>
  </w:style>
  <w:style w:type="paragraph" w:customStyle="1" w:styleId="Default">
    <w:name w:val="Default"/>
    <w:rsid w:val="00CC624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87D49"/>
    <w:rPr>
      <w:color w:val="0000FF" w:themeColor="hyperlink"/>
      <w:u w:val="single"/>
    </w:rPr>
  </w:style>
  <w:style w:type="character" w:customStyle="1" w:styleId="Heading1Char">
    <w:name w:val="Heading 1 Char"/>
    <w:basedOn w:val="DefaultParagraphFont"/>
    <w:link w:val="Heading1"/>
    <w:uiPriority w:val="9"/>
    <w:rsid w:val="00157C23"/>
    <w:rPr>
      <w:rFonts w:ascii="Arial" w:eastAsiaTheme="majorEastAsia" w:hAnsi="Arial" w:cstheme="majorBidi"/>
      <w:b/>
      <w:bCs/>
      <w:szCs w:val="28"/>
    </w:rPr>
  </w:style>
  <w:style w:type="table" w:styleId="TableGrid">
    <w:name w:val="Table Grid"/>
    <w:basedOn w:val="TableNormal"/>
    <w:uiPriority w:val="59"/>
    <w:rsid w:val="0034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57C23"/>
    <w:pPr>
      <w:keepNext/>
      <w:keepLines/>
      <w:spacing w:before="480" w:after="0"/>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048"/>
    <w:pPr>
      <w:ind w:left="720"/>
      <w:contextualSpacing/>
    </w:pPr>
  </w:style>
  <w:style w:type="paragraph" w:styleId="Header">
    <w:name w:val="header"/>
    <w:basedOn w:val="Normal"/>
    <w:link w:val="HeaderChar"/>
    <w:uiPriority w:val="99"/>
    <w:unhideWhenUsed/>
    <w:rsid w:val="00082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F81"/>
  </w:style>
  <w:style w:type="paragraph" w:styleId="Footer">
    <w:name w:val="footer"/>
    <w:basedOn w:val="Normal"/>
    <w:link w:val="FooterChar"/>
    <w:uiPriority w:val="99"/>
    <w:unhideWhenUsed/>
    <w:rsid w:val="00082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F81"/>
  </w:style>
  <w:style w:type="character" w:styleId="CommentReference">
    <w:name w:val="annotation reference"/>
    <w:basedOn w:val="DefaultParagraphFont"/>
    <w:uiPriority w:val="99"/>
    <w:unhideWhenUsed/>
    <w:rsid w:val="0028548C"/>
    <w:rPr>
      <w:sz w:val="16"/>
      <w:szCs w:val="16"/>
    </w:rPr>
  </w:style>
  <w:style w:type="paragraph" w:styleId="CommentText">
    <w:name w:val="annotation text"/>
    <w:basedOn w:val="Normal"/>
    <w:link w:val="CommentTextChar"/>
    <w:uiPriority w:val="99"/>
    <w:semiHidden/>
    <w:unhideWhenUsed/>
    <w:rsid w:val="0028548C"/>
    <w:pPr>
      <w:spacing w:line="240" w:lineRule="auto"/>
    </w:pPr>
    <w:rPr>
      <w:sz w:val="20"/>
      <w:szCs w:val="20"/>
    </w:rPr>
  </w:style>
  <w:style w:type="character" w:customStyle="1" w:styleId="CommentTextChar">
    <w:name w:val="Comment Text Char"/>
    <w:basedOn w:val="DefaultParagraphFont"/>
    <w:link w:val="CommentText"/>
    <w:uiPriority w:val="99"/>
    <w:semiHidden/>
    <w:rsid w:val="0028548C"/>
    <w:rPr>
      <w:sz w:val="20"/>
      <w:szCs w:val="20"/>
    </w:rPr>
  </w:style>
  <w:style w:type="paragraph" w:styleId="CommentSubject">
    <w:name w:val="annotation subject"/>
    <w:basedOn w:val="CommentText"/>
    <w:next w:val="CommentText"/>
    <w:link w:val="CommentSubjectChar"/>
    <w:uiPriority w:val="99"/>
    <w:semiHidden/>
    <w:unhideWhenUsed/>
    <w:rsid w:val="0028548C"/>
    <w:rPr>
      <w:b/>
      <w:bCs/>
    </w:rPr>
  </w:style>
  <w:style w:type="character" w:customStyle="1" w:styleId="CommentSubjectChar">
    <w:name w:val="Comment Subject Char"/>
    <w:basedOn w:val="CommentTextChar"/>
    <w:link w:val="CommentSubject"/>
    <w:uiPriority w:val="99"/>
    <w:semiHidden/>
    <w:rsid w:val="0028548C"/>
    <w:rPr>
      <w:b/>
      <w:bCs/>
      <w:sz w:val="20"/>
      <w:szCs w:val="20"/>
    </w:rPr>
  </w:style>
  <w:style w:type="paragraph" w:styleId="BalloonText">
    <w:name w:val="Balloon Text"/>
    <w:basedOn w:val="Normal"/>
    <w:link w:val="BalloonTextChar"/>
    <w:uiPriority w:val="99"/>
    <w:semiHidden/>
    <w:unhideWhenUsed/>
    <w:rsid w:val="002854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48C"/>
    <w:rPr>
      <w:rFonts w:ascii="Tahoma" w:hAnsi="Tahoma" w:cs="Tahoma"/>
      <w:sz w:val="16"/>
      <w:szCs w:val="16"/>
    </w:rPr>
  </w:style>
  <w:style w:type="paragraph" w:customStyle="1" w:styleId="Default">
    <w:name w:val="Default"/>
    <w:rsid w:val="00CC624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87D49"/>
    <w:rPr>
      <w:color w:val="0000FF" w:themeColor="hyperlink"/>
      <w:u w:val="single"/>
    </w:rPr>
  </w:style>
  <w:style w:type="character" w:customStyle="1" w:styleId="Heading1Char">
    <w:name w:val="Heading 1 Char"/>
    <w:basedOn w:val="DefaultParagraphFont"/>
    <w:link w:val="Heading1"/>
    <w:uiPriority w:val="9"/>
    <w:rsid w:val="00157C23"/>
    <w:rPr>
      <w:rFonts w:ascii="Arial" w:eastAsiaTheme="majorEastAsia" w:hAnsi="Arial" w:cstheme="majorBidi"/>
      <w:b/>
      <w:bCs/>
      <w:szCs w:val="28"/>
    </w:rPr>
  </w:style>
  <w:style w:type="table" w:styleId="TableGrid">
    <w:name w:val="Table Grid"/>
    <w:basedOn w:val="TableNormal"/>
    <w:uiPriority w:val="59"/>
    <w:rsid w:val="0034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13398">
      <w:bodyDiv w:val="1"/>
      <w:marLeft w:val="0"/>
      <w:marRight w:val="0"/>
      <w:marTop w:val="0"/>
      <w:marBottom w:val="0"/>
      <w:divBdr>
        <w:top w:val="none" w:sz="0" w:space="0" w:color="auto"/>
        <w:left w:val="none" w:sz="0" w:space="0" w:color="auto"/>
        <w:bottom w:val="none" w:sz="0" w:space="0" w:color="auto"/>
        <w:right w:val="none" w:sz="0" w:space="0" w:color="auto"/>
      </w:divBdr>
    </w:div>
    <w:div w:id="1712723579">
      <w:bodyDiv w:val="1"/>
      <w:marLeft w:val="0"/>
      <w:marRight w:val="0"/>
      <w:marTop w:val="0"/>
      <w:marBottom w:val="0"/>
      <w:divBdr>
        <w:top w:val="none" w:sz="0" w:space="0" w:color="auto"/>
        <w:left w:val="none" w:sz="0" w:space="0" w:color="auto"/>
        <w:bottom w:val="none" w:sz="0" w:space="0" w:color="auto"/>
        <w:right w:val="none" w:sz="0" w:space="0" w:color="auto"/>
      </w:divBdr>
      <w:divsChild>
        <w:div w:id="2053265300">
          <w:marLeft w:val="0"/>
          <w:marRight w:val="0"/>
          <w:marTop w:val="0"/>
          <w:marBottom w:val="0"/>
          <w:divBdr>
            <w:top w:val="none" w:sz="0" w:space="0" w:color="auto"/>
            <w:left w:val="none" w:sz="0" w:space="0" w:color="auto"/>
            <w:bottom w:val="none" w:sz="0" w:space="0" w:color="auto"/>
            <w:right w:val="none" w:sz="0" w:space="0" w:color="auto"/>
          </w:divBdr>
          <w:divsChild>
            <w:div w:id="1609923205">
              <w:marLeft w:val="0"/>
              <w:marRight w:val="0"/>
              <w:marTop w:val="0"/>
              <w:marBottom w:val="0"/>
              <w:divBdr>
                <w:top w:val="none" w:sz="0" w:space="0" w:color="auto"/>
                <w:left w:val="none" w:sz="0" w:space="0" w:color="auto"/>
                <w:bottom w:val="none" w:sz="0" w:space="0" w:color="auto"/>
                <w:right w:val="none" w:sz="0" w:space="0" w:color="auto"/>
              </w:divBdr>
              <w:divsChild>
                <w:div w:id="186188396">
                  <w:marLeft w:val="0"/>
                  <w:marRight w:val="-95"/>
                  <w:marTop w:val="0"/>
                  <w:marBottom w:val="0"/>
                  <w:divBdr>
                    <w:top w:val="none" w:sz="0" w:space="0" w:color="auto"/>
                    <w:left w:val="none" w:sz="0" w:space="0" w:color="auto"/>
                    <w:bottom w:val="none" w:sz="0" w:space="0" w:color="auto"/>
                    <w:right w:val="none" w:sz="0" w:space="0" w:color="auto"/>
                  </w:divBdr>
                  <w:divsChild>
                    <w:div w:id="2067100634">
                      <w:marLeft w:val="2445"/>
                      <w:marRight w:val="2850"/>
                      <w:marTop w:val="0"/>
                      <w:marBottom w:val="0"/>
                      <w:divBdr>
                        <w:top w:val="none" w:sz="0" w:space="0" w:color="auto"/>
                        <w:left w:val="none" w:sz="0" w:space="0" w:color="auto"/>
                        <w:bottom w:val="none" w:sz="0" w:space="0" w:color="auto"/>
                        <w:right w:val="single" w:sz="6" w:space="18" w:color="E5E5E5"/>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mc-uk.org/DB_list_with_RO_details___DC3503.pdf_52637845.pdf" TargetMode="External"/><Relationship Id="rId4" Type="http://schemas.openxmlformats.org/officeDocument/2006/relationships/settings" Target="settings.xml"/><Relationship Id="rId9" Type="http://schemas.openxmlformats.org/officeDocument/2006/relationships/hyperlink" Target="http://www.exeter.ac.uk/induc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2621</Words>
  <Characters>14941</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2017-05-24T09:42:00Z</dcterms:created>
  <dcterms:modified xsi:type="dcterms:W3CDTF">2017-05-24T09:42:00Z</dcterms:modified>
</cp:coreProperties>
</file>