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C4B7E" w14:textId="438404A1" w:rsidR="0BE255CF" w:rsidRPr="00897BF1" w:rsidRDefault="00B973B5" w:rsidP="00897BF1">
      <w:r>
        <w:rPr>
          <w:noProof/>
        </w:rPr>
        <w:drawing>
          <wp:inline distT="0" distB="0" distL="0" distR="0" wp14:anchorId="40B8252E" wp14:editId="1C3836C0">
            <wp:extent cx="2857500" cy="971550"/>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971550"/>
                    </a:xfrm>
                    <a:prstGeom prst="rect">
                      <a:avLst/>
                    </a:prstGeom>
                    <a:noFill/>
                  </pic:spPr>
                </pic:pic>
              </a:graphicData>
            </a:graphic>
          </wp:inline>
        </w:drawing>
      </w:r>
    </w:p>
    <w:p w14:paraId="113EB12A" w14:textId="77777777" w:rsidR="00BF760A" w:rsidRDefault="00BF760A" w:rsidP="0A22F7F1">
      <w:pPr>
        <w:spacing w:after="0" w:line="240" w:lineRule="auto"/>
        <w:rPr>
          <w:rFonts w:eastAsiaTheme="minorEastAsia"/>
          <w:sz w:val="24"/>
          <w:szCs w:val="24"/>
        </w:rPr>
      </w:pPr>
    </w:p>
    <w:p w14:paraId="56297346" w14:textId="7F9FDCBD" w:rsidR="27B884DF" w:rsidRDefault="00AE7296" w:rsidP="02B9C723">
      <w:pPr>
        <w:spacing w:after="0" w:line="240" w:lineRule="auto"/>
        <w:rPr>
          <w:rFonts w:eastAsiaTheme="minorEastAsia"/>
          <w:b/>
          <w:bCs/>
          <w:sz w:val="28"/>
          <w:szCs w:val="28"/>
        </w:rPr>
      </w:pPr>
      <w:r w:rsidRPr="00AE7296">
        <w:rPr>
          <w:rFonts w:eastAsiaTheme="minorEastAsia"/>
          <w:b/>
          <w:bCs/>
          <w:sz w:val="28"/>
          <w:szCs w:val="28"/>
        </w:rPr>
        <w:t>Career Break Policy</w:t>
      </w:r>
    </w:p>
    <w:p w14:paraId="482EC77B" w14:textId="355F5374" w:rsidR="0A22F7F1" w:rsidRDefault="0A22F7F1" w:rsidP="0A22F7F1">
      <w:pPr>
        <w:spacing w:after="0" w:line="240" w:lineRule="auto"/>
        <w:rPr>
          <w:rFonts w:eastAsiaTheme="minorEastAsia"/>
          <w:sz w:val="24"/>
          <w:szCs w:val="24"/>
        </w:rPr>
      </w:pPr>
    </w:p>
    <w:p w14:paraId="703F1D3F" w14:textId="77777777" w:rsidR="00AE7296" w:rsidRDefault="00AE7296" w:rsidP="0A22F7F1">
      <w:pPr>
        <w:spacing w:after="0" w:line="240" w:lineRule="auto"/>
        <w:rPr>
          <w:rFonts w:eastAsiaTheme="minorEastAsia"/>
          <w:sz w:val="24"/>
          <w:szCs w:val="24"/>
        </w:rPr>
      </w:pPr>
      <w:r w:rsidRPr="00AE7296">
        <w:rPr>
          <w:rFonts w:eastAsiaTheme="minorEastAsia"/>
          <w:sz w:val="24"/>
          <w:szCs w:val="24"/>
        </w:rPr>
        <w:t xml:space="preserve">The University is committed to providing policies and arrangements which promote and support work-life balance for its employees. The University recognises that some employees may wish to take an extended break from work for personal reasons </w:t>
      </w:r>
      <w:proofErr w:type="gramStart"/>
      <w:r w:rsidRPr="00AE7296">
        <w:rPr>
          <w:rFonts w:eastAsiaTheme="minorEastAsia"/>
          <w:sz w:val="24"/>
          <w:szCs w:val="24"/>
        </w:rPr>
        <w:t>during the course of</w:t>
      </w:r>
      <w:proofErr w:type="gramEnd"/>
      <w:r w:rsidRPr="00AE7296">
        <w:rPr>
          <w:rFonts w:eastAsiaTheme="minorEastAsia"/>
          <w:sz w:val="24"/>
          <w:szCs w:val="24"/>
        </w:rPr>
        <w:t xml:space="preserve"> their employment. </w:t>
      </w:r>
    </w:p>
    <w:p w14:paraId="231F5FAD" w14:textId="77777777" w:rsidR="00AE7296" w:rsidRDefault="00AE7296" w:rsidP="0A22F7F1">
      <w:pPr>
        <w:spacing w:after="0" w:line="240" w:lineRule="auto"/>
        <w:rPr>
          <w:rFonts w:eastAsiaTheme="minorEastAsia"/>
          <w:sz w:val="24"/>
          <w:szCs w:val="24"/>
        </w:rPr>
      </w:pPr>
    </w:p>
    <w:p w14:paraId="525550EF" w14:textId="77777777" w:rsidR="00AE7296" w:rsidRDefault="00AE7296" w:rsidP="0A22F7F1">
      <w:pPr>
        <w:spacing w:after="0" w:line="240" w:lineRule="auto"/>
        <w:rPr>
          <w:rFonts w:eastAsiaTheme="minorEastAsia"/>
          <w:sz w:val="24"/>
          <w:szCs w:val="24"/>
        </w:rPr>
      </w:pPr>
      <w:r w:rsidRPr="00AE7296">
        <w:rPr>
          <w:rFonts w:eastAsiaTheme="minorEastAsia"/>
          <w:sz w:val="24"/>
          <w:szCs w:val="24"/>
        </w:rPr>
        <w:t xml:space="preserve">The Career Break Scheme, as set out in this policy, provides a facility for staff to request an unpaid extended period away from their work to fulfil these personal obligations and requirements. </w:t>
      </w:r>
    </w:p>
    <w:p w14:paraId="6CB3E4AC" w14:textId="77777777" w:rsidR="00AE7296" w:rsidRDefault="00AE7296" w:rsidP="0A22F7F1">
      <w:pPr>
        <w:spacing w:after="0" w:line="240" w:lineRule="auto"/>
        <w:rPr>
          <w:rFonts w:eastAsiaTheme="minorEastAsia"/>
          <w:sz w:val="24"/>
          <w:szCs w:val="24"/>
        </w:rPr>
      </w:pPr>
    </w:p>
    <w:p w14:paraId="089CE098" w14:textId="77777777" w:rsidR="00AE7296" w:rsidRPr="00AE7296" w:rsidRDefault="00AE7296" w:rsidP="0A22F7F1">
      <w:pPr>
        <w:spacing w:after="0" w:line="240" w:lineRule="auto"/>
        <w:rPr>
          <w:rFonts w:eastAsiaTheme="minorEastAsia"/>
          <w:b/>
          <w:bCs/>
          <w:sz w:val="24"/>
          <w:szCs w:val="24"/>
        </w:rPr>
      </w:pPr>
      <w:r w:rsidRPr="00AE7296">
        <w:rPr>
          <w:rFonts w:eastAsiaTheme="minorEastAsia"/>
          <w:b/>
          <w:bCs/>
          <w:sz w:val="24"/>
          <w:szCs w:val="24"/>
        </w:rPr>
        <w:t xml:space="preserve">Purpose of policy </w:t>
      </w:r>
    </w:p>
    <w:p w14:paraId="7AF46922" w14:textId="77777777" w:rsidR="00AE7296" w:rsidRDefault="00AE7296" w:rsidP="0A22F7F1">
      <w:pPr>
        <w:spacing w:after="0" w:line="240" w:lineRule="auto"/>
        <w:rPr>
          <w:rFonts w:eastAsiaTheme="minorEastAsia"/>
          <w:sz w:val="24"/>
          <w:szCs w:val="24"/>
        </w:rPr>
      </w:pPr>
      <w:r w:rsidRPr="00AE7296">
        <w:rPr>
          <w:rFonts w:eastAsiaTheme="minorEastAsia"/>
          <w:sz w:val="24"/>
          <w:szCs w:val="24"/>
        </w:rPr>
        <w:t xml:space="preserve">This policy and the accompanying guidance </w:t>
      </w:r>
      <w:proofErr w:type="gramStart"/>
      <w:r w:rsidRPr="00AE7296">
        <w:rPr>
          <w:rFonts w:eastAsiaTheme="minorEastAsia"/>
          <w:sz w:val="24"/>
          <w:szCs w:val="24"/>
        </w:rPr>
        <w:t>sets</w:t>
      </w:r>
      <w:proofErr w:type="gramEnd"/>
      <w:r w:rsidRPr="00AE7296">
        <w:rPr>
          <w:rFonts w:eastAsiaTheme="minorEastAsia"/>
          <w:sz w:val="24"/>
          <w:szCs w:val="24"/>
        </w:rPr>
        <w:t xml:space="preserve"> out the University’s approach to career breaks and the basis on which they may be taken. </w:t>
      </w:r>
    </w:p>
    <w:p w14:paraId="6F380A5E" w14:textId="77777777" w:rsidR="00AE7296" w:rsidRDefault="00AE7296" w:rsidP="0A22F7F1">
      <w:pPr>
        <w:spacing w:after="0" w:line="240" w:lineRule="auto"/>
        <w:rPr>
          <w:rFonts w:eastAsiaTheme="minorEastAsia"/>
          <w:sz w:val="24"/>
          <w:szCs w:val="24"/>
        </w:rPr>
      </w:pPr>
    </w:p>
    <w:p w14:paraId="1EF964A7" w14:textId="77777777" w:rsidR="00AE7296" w:rsidRDefault="00AE7296" w:rsidP="0A22F7F1">
      <w:pPr>
        <w:spacing w:after="0" w:line="240" w:lineRule="auto"/>
        <w:rPr>
          <w:rFonts w:eastAsiaTheme="minorEastAsia"/>
          <w:sz w:val="24"/>
          <w:szCs w:val="24"/>
        </w:rPr>
      </w:pPr>
      <w:r w:rsidRPr="00AE7296">
        <w:rPr>
          <w:rFonts w:eastAsiaTheme="minorEastAsia"/>
          <w:b/>
          <w:bCs/>
          <w:sz w:val="24"/>
          <w:szCs w:val="24"/>
        </w:rPr>
        <w:t>Who does this apply to?</w:t>
      </w:r>
      <w:r w:rsidRPr="00AE7296">
        <w:rPr>
          <w:rFonts w:eastAsiaTheme="minorEastAsia"/>
          <w:sz w:val="24"/>
          <w:szCs w:val="24"/>
        </w:rPr>
        <w:t xml:space="preserve"> </w:t>
      </w:r>
    </w:p>
    <w:p w14:paraId="2036F9E6" w14:textId="77777777" w:rsidR="00AE7296" w:rsidRDefault="00AE7296" w:rsidP="0A22F7F1">
      <w:pPr>
        <w:spacing w:after="0" w:line="240" w:lineRule="auto"/>
        <w:rPr>
          <w:rFonts w:eastAsiaTheme="minorEastAsia"/>
          <w:sz w:val="24"/>
          <w:szCs w:val="24"/>
        </w:rPr>
      </w:pPr>
      <w:r w:rsidRPr="00AE7296">
        <w:rPr>
          <w:rFonts w:eastAsiaTheme="minorEastAsia"/>
          <w:sz w:val="24"/>
          <w:szCs w:val="24"/>
        </w:rPr>
        <w:t xml:space="preserve">This policy applies to all eligible staff across the University, including academic and professional services staff. Details on the eligibility of staff to make an application for a career break are set out in the accompanying guidance. The Career Break Policy is not a contractual commitment or </w:t>
      </w:r>
      <w:proofErr w:type="gramStart"/>
      <w:r w:rsidRPr="00AE7296">
        <w:rPr>
          <w:rFonts w:eastAsiaTheme="minorEastAsia"/>
          <w:sz w:val="24"/>
          <w:szCs w:val="24"/>
        </w:rPr>
        <w:t>entitlement</w:t>
      </w:r>
      <w:proofErr w:type="gramEnd"/>
      <w:r w:rsidRPr="00AE7296">
        <w:rPr>
          <w:rFonts w:eastAsiaTheme="minorEastAsia"/>
          <w:sz w:val="24"/>
          <w:szCs w:val="24"/>
        </w:rPr>
        <w:t xml:space="preserve"> and the Policy can be withdrawn or amended at any time. </w:t>
      </w:r>
    </w:p>
    <w:p w14:paraId="5FA50FE2" w14:textId="77777777" w:rsidR="00AE7296" w:rsidRDefault="00AE7296" w:rsidP="0A22F7F1">
      <w:pPr>
        <w:spacing w:after="0" w:line="240" w:lineRule="auto"/>
        <w:rPr>
          <w:rFonts w:eastAsiaTheme="minorEastAsia"/>
          <w:sz w:val="24"/>
          <w:szCs w:val="24"/>
        </w:rPr>
      </w:pPr>
    </w:p>
    <w:p w14:paraId="23CD81DD" w14:textId="77777777" w:rsidR="00AE7296" w:rsidRPr="00AE7296" w:rsidRDefault="00AE7296" w:rsidP="0A22F7F1">
      <w:pPr>
        <w:spacing w:after="0" w:line="240" w:lineRule="auto"/>
        <w:rPr>
          <w:rFonts w:eastAsiaTheme="minorEastAsia"/>
          <w:b/>
          <w:bCs/>
          <w:sz w:val="24"/>
          <w:szCs w:val="24"/>
        </w:rPr>
      </w:pPr>
      <w:r w:rsidRPr="00AE7296">
        <w:rPr>
          <w:rFonts w:eastAsiaTheme="minorEastAsia"/>
          <w:b/>
          <w:bCs/>
          <w:sz w:val="24"/>
          <w:szCs w:val="24"/>
        </w:rPr>
        <w:t xml:space="preserve">Principles </w:t>
      </w:r>
    </w:p>
    <w:p w14:paraId="3EDCA716" w14:textId="77777777" w:rsidR="000970C2" w:rsidRDefault="00AE7296" w:rsidP="0A22F7F1">
      <w:pPr>
        <w:spacing w:after="0" w:line="240" w:lineRule="auto"/>
        <w:rPr>
          <w:rFonts w:eastAsiaTheme="minorEastAsia"/>
          <w:sz w:val="24"/>
          <w:szCs w:val="24"/>
        </w:rPr>
      </w:pPr>
      <w:r w:rsidRPr="00AE7296">
        <w:rPr>
          <w:rFonts w:eastAsiaTheme="minorEastAsia"/>
          <w:sz w:val="24"/>
          <w:szCs w:val="24"/>
        </w:rPr>
        <w:t>The Career Break Policy has been developed to support the following key principles. The University aims through this policy to:</w:t>
      </w:r>
    </w:p>
    <w:p w14:paraId="72D841C4" w14:textId="77777777" w:rsidR="000970C2" w:rsidRDefault="00AE7296" w:rsidP="00954525">
      <w:pPr>
        <w:pStyle w:val="ListParagraph"/>
        <w:numPr>
          <w:ilvl w:val="0"/>
          <w:numId w:val="1"/>
        </w:numPr>
        <w:spacing w:after="0" w:line="240" w:lineRule="auto"/>
        <w:rPr>
          <w:rFonts w:eastAsiaTheme="minorEastAsia"/>
          <w:sz w:val="24"/>
          <w:szCs w:val="24"/>
        </w:rPr>
      </w:pPr>
      <w:r w:rsidRPr="000970C2">
        <w:rPr>
          <w:rFonts w:eastAsiaTheme="minorEastAsia"/>
          <w:sz w:val="24"/>
          <w:szCs w:val="24"/>
        </w:rPr>
        <w:t xml:space="preserve">Attract high calibre individuals by demonstrating its commitment to the </w:t>
      </w:r>
      <w:proofErr w:type="gramStart"/>
      <w:r w:rsidRPr="000970C2">
        <w:rPr>
          <w:rFonts w:eastAsiaTheme="minorEastAsia"/>
          <w:sz w:val="24"/>
          <w:szCs w:val="24"/>
        </w:rPr>
        <w:t>long term</w:t>
      </w:r>
      <w:proofErr w:type="gramEnd"/>
      <w:r w:rsidRPr="000970C2">
        <w:rPr>
          <w:rFonts w:eastAsiaTheme="minorEastAsia"/>
          <w:sz w:val="24"/>
          <w:szCs w:val="24"/>
        </w:rPr>
        <w:t xml:space="preserve"> career development and work-life balance of its </w:t>
      </w:r>
      <w:proofErr w:type="gramStart"/>
      <w:r w:rsidRPr="000970C2">
        <w:rPr>
          <w:rFonts w:eastAsiaTheme="minorEastAsia"/>
          <w:sz w:val="24"/>
          <w:szCs w:val="24"/>
        </w:rPr>
        <w:t>employees;</w:t>
      </w:r>
      <w:proofErr w:type="gramEnd"/>
    </w:p>
    <w:p w14:paraId="11014E31" w14:textId="77777777" w:rsidR="000970C2" w:rsidRDefault="00AE7296" w:rsidP="00954525">
      <w:pPr>
        <w:pStyle w:val="ListParagraph"/>
        <w:numPr>
          <w:ilvl w:val="0"/>
          <w:numId w:val="1"/>
        </w:numPr>
        <w:spacing w:after="0" w:line="240" w:lineRule="auto"/>
        <w:rPr>
          <w:rFonts w:eastAsiaTheme="minorEastAsia"/>
          <w:sz w:val="24"/>
          <w:szCs w:val="24"/>
        </w:rPr>
      </w:pPr>
      <w:r w:rsidRPr="000970C2">
        <w:rPr>
          <w:rFonts w:eastAsiaTheme="minorEastAsia"/>
          <w:sz w:val="24"/>
          <w:szCs w:val="24"/>
        </w:rPr>
        <w:t xml:space="preserve">Retain staff expertise and experience where an individual’s personal circumstances might otherwise lead them to </w:t>
      </w:r>
      <w:proofErr w:type="gramStart"/>
      <w:r w:rsidRPr="000970C2">
        <w:rPr>
          <w:rFonts w:eastAsiaTheme="minorEastAsia"/>
          <w:sz w:val="24"/>
          <w:szCs w:val="24"/>
        </w:rPr>
        <w:t>leave;</w:t>
      </w:r>
      <w:proofErr w:type="gramEnd"/>
    </w:p>
    <w:p w14:paraId="6CB3F5D5" w14:textId="77777777" w:rsidR="000970C2" w:rsidRDefault="00AE7296" w:rsidP="00954525">
      <w:pPr>
        <w:pStyle w:val="ListParagraph"/>
        <w:numPr>
          <w:ilvl w:val="0"/>
          <w:numId w:val="1"/>
        </w:numPr>
        <w:spacing w:after="0" w:line="240" w:lineRule="auto"/>
        <w:rPr>
          <w:rFonts w:eastAsiaTheme="minorEastAsia"/>
          <w:sz w:val="24"/>
          <w:szCs w:val="24"/>
        </w:rPr>
      </w:pPr>
      <w:r w:rsidRPr="000970C2">
        <w:rPr>
          <w:rFonts w:eastAsiaTheme="minorEastAsia"/>
          <w:sz w:val="24"/>
          <w:szCs w:val="24"/>
        </w:rPr>
        <w:t xml:space="preserve">Provide a supportive response to employees wishing to take time away from </w:t>
      </w:r>
      <w:proofErr w:type="gramStart"/>
      <w:r w:rsidRPr="000970C2">
        <w:rPr>
          <w:rFonts w:eastAsiaTheme="minorEastAsia"/>
          <w:sz w:val="24"/>
          <w:szCs w:val="24"/>
        </w:rPr>
        <w:t>work</w:t>
      </w:r>
      <w:r w:rsidR="000970C2">
        <w:rPr>
          <w:rFonts w:eastAsiaTheme="minorEastAsia"/>
          <w:sz w:val="24"/>
          <w:szCs w:val="24"/>
        </w:rPr>
        <w:t>;</w:t>
      </w:r>
      <w:proofErr w:type="gramEnd"/>
      <w:r w:rsidR="000970C2">
        <w:rPr>
          <w:rFonts w:eastAsiaTheme="minorEastAsia"/>
          <w:sz w:val="24"/>
          <w:szCs w:val="24"/>
        </w:rPr>
        <w:t xml:space="preserve"> </w:t>
      </w:r>
    </w:p>
    <w:p w14:paraId="136EC9A7" w14:textId="3CF70CD4" w:rsidR="00AE7296" w:rsidRPr="000970C2" w:rsidRDefault="00AE7296" w:rsidP="00954525">
      <w:pPr>
        <w:pStyle w:val="ListParagraph"/>
        <w:numPr>
          <w:ilvl w:val="0"/>
          <w:numId w:val="1"/>
        </w:numPr>
        <w:spacing w:after="0" w:line="240" w:lineRule="auto"/>
        <w:rPr>
          <w:rFonts w:eastAsiaTheme="minorEastAsia"/>
          <w:sz w:val="24"/>
          <w:szCs w:val="24"/>
        </w:rPr>
      </w:pPr>
      <w:r w:rsidRPr="000970C2">
        <w:rPr>
          <w:rFonts w:eastAsiaTheme="minorEastAsia"/>
          <w:sz w:val="24"/>
          <w:szCs w:val="24"/>
        </w:rPr>
        <w:t xml:space="preserve">Support the University’s commitment to equality and diversity and inclusivity. </w:t>
      </w:r>
    </w:p>
    <w:p w14:paraId="1570385B" w14:textId="77777777" w:rsidR="00AE7296" w:rsidRDefault="00AE7296" w:rsidP="0A22F7F1">
      <w:pPr>
        <w:spacing w:after="0" w:line="240" w:lineRule="auto"/>
        <w:rPr>
          <w:rFonts w:eastAsiaTheme="minorEastAsia"/>
          <w:sz w:val="24"/>
          <w:szCs w:val="24"/>
        </w:rPr>
      </w:pPr>
    </w:p>
    <w:p w14:paraId="5609AB7D" w14:textId="77777777" w:rsidR="00AE7296" w:rsidRDefault="00AE7296" w:rsidP="0A22F7F1">
      <w:pPr>
        <w:spacing w:after="0" w:line="240" w:lineRule="auto"/>
        <w:rPr>
          <w:rFonts w:eastAsiaTheme="minorEastAsia"/>
          <w:sz w:val="24"/>
          <w:szCs w:val="24"/>
        </w:rPr>
      </w:pPr>
      <w:r w:rsidRPr="00AE7296">
        <w:rPr>
          <w:rFonts w:eastAsiaTheme="minorEastAsia"/>
          <w:b/>
          <w:bCs/>
          <w:sz w:val="24"/>
          <w:szCs w:val="24"/>
        </w:rPr>
        <w:t>Responsibilities</w:t>
      </w:r>
      <w:r w:rsidRPr="00AE7296">
        <w:rPr>
          <w:rFonts w:eastAsiaTheme="minorEastAsia"/>
          <w:sz w:val="24"/>
          <w:szCs w:val="24"/>
        </w:rPr>
        <w:t xml:space="preserve"> </w:t>
      </w:r>
    </w:p>
    <w:p w14:paraId="6C3BC4A5" w14:textId="77777777" w:rsidR="00AE7296" w:rsidRDefault="00AE7296" w:rsidP="0A22F7F1">
      <w:pPr>
        <w:spacing w:after="0" w:line="240" w:lineRule="auto"/>
        <w:rPr>
          <w:rFonts w:eastAsiaTheme="minorEastAsia"/>
          <w:sz w:val="24"/>
          <w:szCs w:val="24"/>
        </w:rPr>
      </w:pPr>
      <w:r w:rsidRPr="00AE7296">
        <w:rPr>
          <w:rFonts w:eastAsiaTheme="minorEastAsia"/>
          <w:sz w:val="24"/>
          <w:szCs w:val="24"/>
        </w:rPr>
        <w:t xml:space="preserve">Line managers are responsible for considering any request made under the Career Break Policy fairly and in line with the accompanying guidance. Staff who wish to make an application for a career break should give their manager as much notice as possible and work with their manager to discuss the implications of their request so that the individual’s and the University’s interests are properly considered and appropriately balanced. </w:t>
      </w:r>
    </w:p>
    <w:p w14:paraId="62EACDE6" w14:textId="77777777" w:rsidR="00AE7296" w:rsidRDefault="00AE7296" w:rsidP="0A22F7F1">
      <w:pPr>
        <w:spacing w:after="0" w:line="240" w:lineRule="auto"/>
        <w:rPr>
          <w:rFonts w:eastAsiaTheme="minorEastAsia"/>
          <w:sz w:val="24"/>
          <w:szCs w:val="24"/>
        </w:rPr>
      </w:pPr>
    </w:p>
    <w:p w14:paraId="7D77D82C" w14:textId="55FF8103" w:rsidR="00AE7296" w:rsidRDefault="00AE7296" w:rsidP="151ED38D">
      <w:pPr>
        <w:spacing w:after="0" w:line="240" w:lineRule="auto"/>
        <w:rPr>
          <w:rFonts w:eastAsiaTheme="minorEastAsia"/>
          <w:sz w:val="24"/>
          <w:szCs w:val="24"/>
        </w:rPr>
      </w:pPr>
      <w:r w:rsidRPr="151ED38D">
        <w:rPr>
          <w:rFonts w:eastAsiaTheme="minorEastAsia"/>
          <w:sz w:val="24"/>
          <w:szCs w:val="24"/>
        </w:rPr>
        <w:lastRenderedPageBreak/>
        <w:t>HR Services is responsible for the supporting line managers and staff by providing guidance and ensuring the policy and guidance is applied fairly and consistently across the University.</w:t>
      </w:r>
    </w:p>
    <w:p w14:paraId="198A0F34" w14:textId="77777777" w:rsidR="00E13058" w:rsidRDefault="00E13058" w:rsidP="151ED38D">
      <w:pPr>
        <w:spacing w:after="0" w:line="240" w:lineRule="auto"/>
        <w:rPr>
          <w:rFonts w:eastAsiaTheme="minorEastAsia"/>
          <w:b/>
          <w:bCs/>
          <w:sz w:val="24"/>
          <w:szCs w:val="24"/>
        </w:rPr>
      </w:pPr>
    </w:p>
    <w:p w14:paraId="18FA212E" w14:textId="6F61E48E" w:rsidR="00AE7296" w:rsidRDefault="00AE7296" w:rsidP="151ED38D">
      <w:pPr>
        <w:spacing w:after="0" w:line="240" w:lineRule="auto"/>
        <w:rPr>
          <w:rFonts w:eastAsiaTheme="minorEastAsia"/>
          <w:sz w:val="24"/>
          <w:szCs w:val="24"/>
        </w:rPr>
      </w:pPr>
      <w:r w:rsidRPr="151ED38D">
        <w:rPr>
          <w:rFonts w:eastAsiaTheme="minorEastAsia"/>
          <w:b/>
          <w:bCs/>
          <w:sz w:val="24"/>
          <w:szCs w:val="24"/>
        </w:rPr>
        <w:t>Further guidance and advice</w:t>
      </w:r>
      <w:r w:rsidRPr="151ED38D">
        <w:rPr>
          <w:rFonts w:eastAsiaTheme="minorEastAsia"/>
          <w:sz w:val="24"/>
          <w:szCs w:val="24"/>
        </w:rPr>
        <w:t xml:space="preserve"> </w:t>
      </w:r>
    </w:p>
    <w:p w14:paraId="3CC86607" w14:textId="0593FA68" w:rsidR="0A22F7F1" w:rsidRDefault="00AE7296" w:rsidP="0A22F7F1">
      <w:pPr>
        <w:spacing w:after="0" w:line="240" w:lineRule="auto"/>
        <w:rPr>
          <w:rFonts w:eastAsiaTheme="minorEastAsia"/>
          <w:sz w:val="24"/>
          <w:szCs w:val="24"/>
        </w:rPr>
      </w:pPr>
      <w:r w:rsidRPr="00AE7296">
        <w:rPr>
          <w:rFonts w:eastAsiaTheme="minorEastAsia"/>
          <w:sz w:val="24"/>
          <w:szCs w:val="24"/>
        </w:rPr>
        <w:t>Further guidance for managers and staff can be found on the HR Career Break web pages Speak to your HR Business Partner or Advisor for specific advice and guidance.</w:t>
      </w:r>
    </w:p>
    <w:p w14:paraId="13571080" w14:textId="39D39D45" w:rsidR="0A22F7F1" w:rsidRDefault="0A22F7F1" w:rsidP="0A22F7F1">
      <w:pPr>
        <w:spacing w:after="0" w:line="240" w:lineRule="auto"/>
        <w:rPr>
          <w:rFonts w:eastAsiaTheme="minorEastAsia"/>
          <w:sz w:val="24"/>
          <w:szCs w:val="24"/>
        </w:rPr>
      </w:pPr>
    </w:p>
    <w:p w14:paraId="2142EC6C" w14:textId="0EB83B9E" w:rsidR="0A22F7F1" w:rsidRDefault="0A22F7F1" w:rsidP="0A22F7F1">
      <w:pPr>
        <w:spacing w:after="0" w:line="240" w:lineRule="auto"/>
        <w:rPr>
          <w:rFonts w:eastAsiaTheme="minorEastAsia"/>
          <w:sz w:val="24"/>
          <w:szCs w:val="24"/>
        </w:rPr>
      </w:pPr>
    </w:p>
    <w:tbl>
      <w:tblPr>
        <w:tblStyle w:val="TableGrid"/>
        <w:tblW w:w="0" w:type="auto"/>
        <w:tblLayout w:type="fixed"/>
        <w:tblLook w:val="06A0" w:firstRow="1" w:lastRow="0" w:firstColumn="1" w:lastColumn="0" w:noHBand="1" w:noVBand="1"/>
      </w:tblPr>
      <w:tblGrid>
        <w:gridCol w:w="3005"/>
        <w:gridCol w:w="6030"/>
      </w:tblGrid>
      <w:tr w:rsidR="29E6EF20" w14:paraId="596E4DC9" w14:textId="77777777" w:rsidTr="58CCC436">
        <w:trPr>
          <w:trHeight w:val="300"/>
        </w:trPr>
        <w:tc>
          <w:tcPr>
            <w:tcW w:w="3005" w:type="dxa"/>
          </w:tcPr>
          <w:p w14:paraId="3E1EF0D5" w14:textId="40674013" w:rsidR="770CBD0B" w:rsidRDefault="770CBD0B" w:rsidP="29E6EF20">
            <w:pPr>
              <w:rPr>
                <w:rFonts w:eastAsiaTheme="minorEastAsia"/>
                <w:sz w:val="24"/>
                <w:szCs w:val="24"/>
              </w:rPr>
            </w:pPr>
            <w:r w:rsidRPr="29E6EF20">
              <w:rPr>
                <w:rFonts w:eastAsiaTheme="minorEastAsia"/>
                <w:sz w:val="24"/>
                <w:szCs w:val="24"/>
              </w:rPr>
              <w:t>Policy Name:</w:t>
            </w:r>
          </w:p>
        </w:tc>
        <w:tc>
          <w:tcPr>
            <w:tcW w:w="6030" w:type="dxa"/>
          </w:tcPr>
          <w:p w14:paraId="1EB63316" w14:textId="6E04414F" w:rsidR="29E6EF20" w:rsidRDefault="00AE7296" w:rsidP="29E6EF20">
            <w:pPr>
              <w:rPr>
                <w:rFonts w:eastAsiaTheme="minorEastAsia"/>
                <w:sz w:val="24"/>
                <w:szCs w:val="24"/>
              </w:rPr>
            </w:pPr>
            <w:r>
              <w:rPr>
                <w:rFonts w:eastAsiaTheme="minorEastAsia"/>
                <w:sz w:val="24"/>
                <w:szCs w:val="24"/>
              </w:rPr>
              <w:t xml:space="preserve">Career Break </w:t>
            </w:r>
          </w:p>
        </w:tc>
      </w:tr>
      <w:tr w:rsidR="0D1CF086" w:rsidRPr="00A54697" w14:paraId="1FC03C5C" w14:textId="77777777" w:rsidTr="58CCC436">
        <w:trPr>
          <w:trHeight w:val="300"/>
        </w:trPr>
        <w:tc>
          <w:tcPr>
            <w:tcW w:w="3005" w:type="dxa"/>
          </w:tcPr>
          <w:p w14:paraId="1B8B3B67" w14:textId="2115DA51" w:rsidR="0FD32623" w:rsidRPr="00A54697" w:rsidRDefault="635F7857" w:rsidP="5A7E4350">
            <w:pPr>
              <w:rPr>
                <w:rFonts w:eastAsiaTheme="minorEastAsia"/>
                <w:sz w:val="24"/>
                <w:szCs w:val="24"/>
              </w:rPr>
            </w:pPr>
            <w:r w:rsidRPr="00A54697">
              <w:rPr>
                <w:rFonts w:eastAsiaTheme="minorEastAsia"/>
                <w:sz w:val="24"/>
                <w:szCs w:val="24"/>
              </w:rPr>
              <w:t>Owner:</w:t>
            </w:r>
          </w:p>
        </w:tc>
        <w:tc>
          <w:tcPr>
            <w:tcW w:w="6030" w:type="dxa"/>
          </w:tcPr>
          <w:p w14:paraId="5B9816A2" w14:textId="4C512B4E" w:rsidR="0FD32623" w:rsidRPr="00A54697" w:rsidRDefault="5DEF76D3" w:rsidP="32C43117">
            <w:pPr>
              <w:rPr>
                <w:rFonts w:eastAsiaTheme="minorEastAsia"/>
                <w:sz w:val="24"/>
                <w:szCs w:val="24"/>
              </w:rPr>
            </w:pPr>
            <w:r w:rsidRPr="58CCC436">
              <w:rPr>
                <w:rFonts w:eastAsiaTheme="minorEastAsia"/>
                <w:sz w:val="24"/>
                <w:szCs w:val="24"/>
              </w:rPr>
              <w:t>HR Policy</w:t>
            </w:r>
          </w:p>
        </w:tc>
      </w:tr>
      <w:tr w:rsidR="0D1CF086" w:rsidRPr="00A54697" w14:paraId="3A1658C6" w14:textId="77777777" w:rsidTr="58CCC436">
        <w:trPr>
          <w:trHeight w:val="300"/>
        </w:trPr>
        <w:tc>
          <w:tcPr>
            <w:tcW w:w="3005" w:type="dxa"/>
          </w:tcPr>
          <w:p w14:paraId="67C38631" w14:textId="2A66396B" w:rsidR="0FD32623" w:rsidRPr="00A54697" w:rsidRDefault="635F7857" w:rsidP="5A7E4350">
            <w:pPr>
              <w:rPr>
                <w:rFonts w:eastAsiaTheme="minorEastAsia"/>
                <w:sz w:val="24"/>
                <w:szCs w:val="24"/>
              </w:rPr>
            </w:pPr>
            <w:r w:rsidRPr="00A54697">
              <w:rPr>
                <w:rFonts w:eastAsiaTheme="minorEastAsia"/>
                <w:sz w:val="24"/>
                <w:szCs w:val="24"/>
              </w:rPr>
              <w:t xml:space="preserve">Approved by: </w:t>
            </w:r>
          </w:p>
        </w:tc>
        <w:tc>
          <w:tcPr>
            <w:tcW w:w="6030" w:type="dxa"/>
          </w:tcPr>
          <w:p w14:paraId="57646419" w14:textId="77777777" w:rsidR="00F56209" w:rsidRDefault="2B9056FC" w:rsidP="32C43117">
            <w:pPr>
              <w:rPr>
                <w:rFonts w:eastAsiaTheme="minorEastAsia"/>
                <w:sz w:val="24"/>
                <w:szCs w:val="24"/>
              </w:rPr>
            </w:pPr>
            <w:r w:rsidRPr="0A22F7F1">
              <w:rPr>
                <w:rFonts w:eastAsiaTheme="minorEastAsia"/>
                <w:sz w:val="24"/>
                <w:szCs w:val="24"/>
              </w:rPr>
              <w:t>UEB</w:t>
            </w:r>
            <w:r w:rsidR="001E0AEA">
              <w:rPr>
                <w:rFonts w:eastAsiaTheme="minorEastAsia"/>
                <w:sz w:val="24"/>
                <w:szCs w:val="24"/>
              </w:rPr>
              <w:t xml:space="preserve"> 2017</w:t>
            </w:r>
          </w:p>
          <w:p w14:paraId="3C0F81EB" w14:textId="26199375" w:rsidR="0FD32623" w:rsidRPr="00A54697" w:rsidRDefault="005A4584" w:rsidP="32C43117">
            <w:pPr>
              <w:rPr>
                <w:rFonts w:eastAsiaTheme="minorEastAsia"/>
                <w:sz w:val="24"/>
                <w:szCs w:val="24"/>
              </w:rPr>
            </w:pPr>
            <w:r>
              <w:rPr>
                <w:rFonts w:eastAsiaTheme="minorEastAsia"/>
                <w:sz w:val="24"/>
                <w:szCs w:val="24"/>
              </w:rPr>
              <w:t>H</w:t>
            </w:r>
            <w:r w:rsidR="00F56209">
              <w:rPr>
                <w:rFonts w:eastAsiaTheme="minorEastAsia"/>
                <w:sz w:val="24"/>
                <w:szCs w:val="24"/>
              </w:rPr>
              <w:t>R</w:t>
            </w:r>
            <w:r>
              <w:rPr>
                <w:rFonts w:eastAsiaTheme="minorEastAsia"/>
                <w:sz w:val="24"/>
                <w:szCs w:val="24"/>
              </w:rPr>
              <w:t xml:space="preserve"> Deputy Director</w:t>
            </w:r>
            <w:r w:rsidR="001E0AEA">
              <w:rPr>
                <w:rFonts w:eastAsiaTheme="minorEastAsia"/>
                <w:sz w:val="24"/>
                <w:szCs w:val="24"/>
              </w:rPr>
              <w:t xml:space="preserve"> approved review updates in 2025</w:t>
            </w:r>
          </w:p>
        </w:tc>
      </w:tr>
      <w:tr w:rsidR="0D1CF086" w:rsidRPr="00A54697" w14:paraId="25AA8901" w14:textId="77777777" w:rsidTr="58CCC436">
        <w:trPr>
          <w:trHeight w:val="300"/>
        </w:trPr>
        <w:tc>
          <w:tcPr>
            <w:tcW w:w="3005" w:type="dxa"/>
          </w:tcPr>
          <w:p w14:paraId="2CEE40F0" w14:textId="649DC069" w:rsidR="0FD32623" w:rsidRPr="00A54697" w:rsidRDefault="635F7857" w:rsidP="5A7E4350">
            <w:pPr>
              <w:rPr>
                <w:rFonts w:eastAsiaTheme="minorEastAsia"/>
                <w:sz w:val="24"/>
                <w:szCs w:val="24"/>
              </w:rPr>
            </w:pPr>
            <w:r w:rsidRPr="00A54697">
              <w:rPr>
                <w:rFonts w:eastAsiaTheme="minorEastAsia"/>
                <w:sz w:val="24"/>
                <w:szCs w:val="24"/>
              </w:rPr>
              <w:t>Date approved:</w:t>
            </w:r>
          </w:p>
        </w:tc>
        <w:tc>
          <w:tcPr>
            <w:tcW w:w="6030" w:type="dxa"/>
          </w:tcPr>
          <w:p w14:paraId="7791ED3D" w14:textId="77777777" w:rsidR="0FD32623" w:rsidRDefault="00AE7296" w:rsidP="29E6EF20">
            <w:pPr>
              <w:rPr>
                <w:rFonts w:eastAsiaTheme="minorEastAsia"/>
                <w:sz w:val="24"/>
                <w:szCs w:val="24"/>
              </w:rPr>
            </w:pPr>
            <w:r>
              <w:rPr>
                <w:rFonts w:eastAsiaTheme="minorEastAsia"/>
                <w:sz w:val="24"/>
                <w:szCs w:val="24"/>
              </w:rPr>
              <w:t>2017 (</w:t>
            </w:r>
            <w:r w:rsidRPr="00AE7296">
              <w:rPr>
                <w:rFonts w:eastAsiaTheme="minorEastAsia"/>
                <w:sz w:val="24"/>
                <w:szCs w:val="24"/>
              </w:rPr>
              <w:t>updated November 2024 to reflect new University Branding</w:t>
            </w:r>
            <w:r>
              <w:rPr>
                <w:rFonts w:eastAsiaTheme="minorEastAsia"/>
                <w:sz w:val="24"/>
                <w:szCs w:val="24"/>
              </w:rPr>
              <w:t>)</w:t>
            </w:r>
          </w:p>
          <w:p w14:paraId="6C68DF4F" w14:textId="5FC251B5" w:rsidR="001E0AEA" w:rsidRPr="00A54697" w:rsidRDefault="001E0AEA" w:rsidP="29E6EF20">
            <w:pPr>
              <w:rPr>
                <w:rFonts w:eastAsiaTheme="minorEastAsia"/>
                <w:sz w:val="24"/>
                <w:szCs w:val="24"/>
              </w:rPr>
            </w:pPr>
            <w:r>
              <w:rPr>
                <w:rFonts w:eastAsiaTheme="minorEastAsia"/>
                <w:sz w:val="24"/>
                <w:szCs w:val="24"/>
              </w:rPr>
              <w:t>July 2025</w:t>
            </w:r>
          </w:p>
        </w:tc>
      </w:tr>
      <w:tr w:rsidR="29E6EF20" w14:paraId="003EB6CA" w14:textId="77777777" w:rsidTr="58CCC436">
        <w:trPr>
          <w:trHeight w:val="300"/>
        </w:trPr>
        <w:tc>
          <w:tcPr>
            <w:tcW w:w="3005" w:type="dxa"/>
          </w:tcPr>
          <w:p w14:paraId="048097C1" w14:textId="1DF6D9D2" w:rsidR="1CEBD38E" w:rsidRDefault="1CEBD38E" w:rsidP="29E6EF20">
            <w:pPr>
              <w:rPr>
                <w:rFonts w:eastAsiaTheme="minorEastAsia"/>
                <w:sz w:val="24"/>
                <w:szCs w:val="24"/>
              </w:rPr>
            </w:pPr>
            <w:r w:rsidRPr="29E6EF20">
              <w:rPr>
                <w:rFonts w:eastAsiaTheme="minorEastAsia"/>
                <w:sz w:val="24"/>
                <w:szCs w:val="24"/>
              </w:rPr>
              <w:t>E</w:t>
            </w:r>
            <w:r w:rsidR="02B90BD3" w:rsidRPr="29E6EF20">
              <w:rPr>
                <w:rFonts w:eastAsiaTheme="minorEastAsia"/>
                <w:sz w:val="24"/>
                <w:szCs w:val="24"/>
              </w:rPr>
              <w:t xml:space="preserve">quality Impact </w:t>
            </w:r>
            <w:r w:rsidRPr="29E6EF20">
              <w:rPr>
                <w:rFonts w:eastAsiaTheme="minorEastAsia"/>
                <w:sz w:val="24"/>
                <w:szCs w:val="24"/>
              </w:rPr>
              <w:t>A</w:t>
            </w:r>
            <w:r w:rsidR="79AF3865" w:rsidRPr="29E6EF20">
              <w:rPr>
                <w:rFonts w:eastAsiaTheme="minorEastAsia"/>
                <w:sz w:val="24"/>
                <w:szCs w:val="24"/>
              </w:rPr>
              <w:t>ssessment</w:t>
            </w:r>
            <w:r w:rsidRPr="29E6EF20">
              <w:rPr>
                <w:rFonts w:eastAsiaTheme="minorEastAsia"/>
                <w:sz w:val="24"/>
                <w:szCs w:val="24"/>
              </w:rPr>
              <w:t xml:space="preserve"> date:</w:t>
            </w:r>
          </w:p>
        </w:tc>
        <w:tc>
          <w:tcPr>
            <w:tcW w:w="6030" w:type="dxa"/>
          </w:tcPr>
          <w:p w14:paraId="7BF907C1" w14:textId="18B19305" w:rsidR="001E0AEA" w:rsidRDefault="00AE7296" w:rsidP="29E6EF20">
            <w:pPr>
              <w:rPr>
                <w:rFonts w:eastAsiaTheme="minorEastAsia"/>
                <w:sz w:val="24"/>
                <w:szCs w:val="24"/>
              </w:rPr>
            </w:pPr>
            <w:r>
              <w:rPr>
                <w:rFonts w:eastAsiaTheme="minorEastAsia"/>
                <w:sz w:val="24"/>
                <w:szCs w:val="24"/>
              </w:rPr>
              <w:t>31 August 2016</w:t>
            </w:r>
          </w:p>
        </w:tc>
      </w:tr>
      <w:tr w:rsidR="0D1CF086" w:rsidRPr="00A54697" w14:paraId="0D18C526" w14:textId="77777777" w:rsidTr="58CCC436">
        <w:trPr>
          <w:trHeight w:val="300"/>
        </w:trPr>
        <w:tc>
          <w:tcPr>
            <w:tcW w:w="3005" w:type="dxa"/>
          </w:tcPr>
          <w:p w14:paraId="79D5465F" w14:textId="506F6D5E" w:rsidR="0FD32623" w:rsidRPr="00A54697" w:rsidRDefault="635F7857" w:rsidP="5A7E4350">
            <w:pPr>
              <w:rPr>
                <w:rFonts w:eastAsiaTheme="minorEastAsia"/>
                <w:sz w:val="24"/>
                <w:szCs w:val="24"/>
              </w:rPr>
            </w:pPr>
            <w:r w:rsidRPr="00A54697">
              <w:rPr>
                <w:rFonts w:eastAsiaTheme="minorEastAsia"/>
                <w:sz w:val="24"/>
                <w:szCs w:val="24"/>
              </w:rPr>
              <w:t>Review date:</w:t>
            </w:r>
          </w:p>
        </w:tc>
        <w:tc>
          <w:tcPr>
            <w:tcW w:w="6030" w:type="dxa"/>
          </w:tcPr>
          <w:p w14:paraId="1E86B5BB" w14:textId="775A02CB" w:rsidR="0FD32623" w:rsidRPr="00A54697" w:rsidRDefault="00DC33A1" w:rsidP="32C43117">
            <w:pPr>
              <w:rPr>
                <w:rFonts w:eastAsiaTheme="minorEastAsia"/>
                <w:sz w:val="24"/>
                <w:szCs w:val="24"/>
              </w:rPr>
            </w:pPr>
            <w:r>
              <w:rPr>
                <w:rFonts w:eastAsiaTheme="minorEastAsia"/>
                <w:sz w:val="24"/>
                <w:szCs w:val="24"/>
              </w:rPr>
              <w:t xml:space="preserve">2028 </w:t>
            </w:r>
          </w:p>
        </w:tc>
      </w:tr>
    </w:tbl>
    <w:p w14:paraId="76E9E733" w14:textId="47289902" w:rsidR="0D1CF086" w:rsidRPr="00A54697" w:rsidRDefault="0D1CF086" w:rsidP="0D1CF086">
      <w:pPr>
        <w:spacing w:after="0" w:line="240" w:lineRule="auto"/>
        <w:rPr>
          <w:rFonts w:ascii="Outfit" w:hAnsi="Outfit"/>
          <w:sz w:val="24"/>
          <w:szCs w:val="24"/>
        </w:rPr>
      </w:pPr>
    </w:p>
    <w:sectPr w:rsidR="0D1CF086" w:rsidRPr="00A54697">
      <w:headerReference w:type="default"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BB226" w14:textId="77777777" w:rsidR="006E68B2" w:rsidRDefault="006E68B2">
      <w:pPr>
        <w:spacing w:after="0" w:line="240" w:lineRule="auto"/>
      </w:pPr>
      <w:r>
        <w:separator/>
      </w:r>
    </w:p>
  </w:endnote>
  <w:endnote w:type="continuationSeparator" w:id="0">
    <w:p w14:paraId="46E4AB48" w14:textId="77777777" w:rsidR="006E68B2" w:rsidRDefault="006E68B2">
      <w:pPr>
        <w:spacing w:after="0" w:line="240" w:lineRule="auto"/>
      </w:pPr>
      <w:r>
        <w:continuationSeparator/>
      </w:r>
    </w:p>
  </w:endnote>
  <w:endnote w:type="continuationNotice" w:id="1">
    <w:p w14:paraId="0396DB67" w14:textId="77777777" w:rsidR="006E68B2" w:rsidRDefault="006E68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Georgia-Bold">
    <w:panose1 w:val="00000000000000000000"/>
    <w:charset w:val="00"/>
    <w:family w:val="auto"/>
    <w:notTrueType/>
    <w:pitch w:val="default"/>
    <w:sig w:usb0="00000003" w:usb1="00000000" w:usb2="00000000" w:usb3="00000000" w:csb0="00000001" w:csb1="00000000"/>
  </w:font>
  <w:font w:name="Outfit">
    <w:panose1 w:val="00000000000000000000"/>
    <w:charset w:val="00"/>
    <w:family w:val="auto"/>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EB669E6" w14:paraId="28BD8248" w14:textId="77777777" w:rsidTr="1EB669E6">
      <w:trPr>
        <w:trHeight w:val="300"/>
      </w:trPr>
      <w:tc>
        <w:tcPr>
          <w:tcW w:w="3005" w:type="dxa"/>
        </w:tcPr>
        <w:p w14:paraId="1D849F15" w14:textId="447EAEE3" w:rsidR="1EB669E6" w:rsidRDefault="1EB669E6" w:rsidP="1EB669E6">
          <w:pPr>
            <w:pStyle w:val="Header"/>
            <w:ind w:left="-115"/>
          </w:pPr>
        </w:p>
      </w:tc>
      <w:tc>
        <w:tcPr>
          <w:tcW w:w="3005" w:type="dxa"/>
        </w:tcPr>
        <w:p w14:paraId="7D308C91" w14:textId="27A97B57" w:rsidR="1EB669E6" w:rsidRDefault="1EB669E6" w:rsidP="1EB669E6">
          <w:pPr>
            <w:pStyle w:val="Header"/>
            <w:jc w:val="center"/>
          </w:pPr>
        </w:p>
      </w:tc>
      <w:tc>
        <w:tcPr>
          <w:tcW w:w="3005" w:type="dxa"/>
        </w:tcPr>
        <w:p w14:paraId="3830FDD8" w14:textId="2A667A3A" w:rsidR="1EB669E6" w:rsidRDefault="1EB669E6" w:rsidP="1EB669E6">
          <w:pPr>
            <w:pStyle w:val="Header"/>
            <w:ind w:right="-115"/>
            <w:jc w:val="right"/>
          </w:pPr>
          <w:r>
            <w:t xml:space="preserve">1 </w:t>
          </w:r>
        </w:p>
      </w:tc>
    </w:tr>
  </w:tbl>
  <w:p w14:paraId="348A3AFB" w14:textId="48C94349" w:rsidR="1EB669E6" w:rsidRDefault="1EB669E6" w:rsidP="1EB669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EB669E6" w14:paraId="00682AC7" w14:textId="77777777" w:rsidTr="1EB669E6">
      <w:trPr>
        <w:trHeight w:val="300"/>
      </w:trPr>
      <w:tc>
        <w:tcPr>
          <w:tcW w:w="3005" w:type="dxa"/>
        </w:tcPr>
        <w:p w14:paraId="264DC772" w14:textId="192AED7E" w:rsidR="1EB669E6" w:rsidRDefault="1EB669E6" w:rsidP="1EB669E6">
          <w:pPr>
            <w:pStyle w:val="Header"/>
            <w:ind w:left="-115"/>
          </w:pPr>
        </w:p>
      </w:tc>
      <w:tc>
        <w:tcPr>
          <w:tcW w:w="3005" w:type="dxa"/>
        </w:tcPr>
        <w:p w14:paraId="7FC8ADDC" w14:textId="15B19FC6" w:rsidR="1EB669E6" w:rsidRDefault="1EB669E6" w:rsidP="1EB669E6">
          <w:pPr>
            <w:pStyle w:val="Header"/>
            <w:jc w:val="center"/>
          </w:pPr>
        </w:p>
      </w:tc>
      <w:tc>
        <w:tcPr>
          <w:tcW w:w="3005" w:type="dxa"/>
        </w:tcPr>
        <w:p w14:paraId="7CBC5A3F" w14:textId="4D31DD8E" w:rsidR="1EB669E6" w:rsidRDefault="1EB669E6" w:rsidP="1EB669E6">
          <w:pPr>
            <w:pStyle w:val="Header"/>
            <w:ind w:right="-115"/>
            <w:jc w:val="right"/>
          </w:pPr>
        </w:p>
      </w:tc>
    </w:tr>
  </w:tbl>
  <w:p w14:paraId="734C7925" w14:textId="12CA0C9B" w:rsidR="1EB669E6" w:rsidRDefault="1EB669E6" w:rsidP="1EB669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EAD96" w14:textId="77777777" w:rsidR="006E68B2" w:rsidRDefault="006E68B2">
      <w:pPr>
        <w:spacing w:after="0" w:line="240" w:lineRule="auto"/>
      </w:pPr>
      <w:r>
        <w:separator/>
      </w:r>
    </w:p>
  </w:footnote>
  <w:footnote w:type="continuationSeparator" w:id="0">
    <w:p w14:paraId="635560C4" w14:textId="77777777" w:rsidR="006E68B2" w:rsidRDefault="006E68B2">
      <w:pPr>
        <w:spacing w:after="0" w:line="240" w:lineRule="auto"/>
      </w:pPr>
      <w:r>
        <w:continuationSeparator/>
      </w:r>
    </w:p>
  </w:footnote>
  <w:footnote w:type="continuationNotice" w:id="1">
    <w:p w14:paraId="69274E97" w14:textId="77777777" w:rsidR="006E68B2" w:rsidRDefault="006E68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C0A60" w14:textId="29C7C270" w:rsidR="1EB669E6" w:rsidRDefault="1EB669E6"/>
  <w:tbl>
    <w:tblPr>
      <w:tblW w:w="0" w:type="auto"/>
      <w:tblLayout w:type="fixed"/>
      <w:tblLook w:val="06A0" w:firstRow="1" w:lastRow="0" w:firstColumn="1" w:lastColumn="0" w:noHBand="1" w:noVBand="1"/>
    </w:tblPr>
    <w:tblGrid>
      <w:gridCol w:w="3005"/>
      <w:gridCol w:w="3005"/>
      <w:gridCol w:w="3005"/>
    </w:tblGrid>
    <w:tr w:rsidR="1EB669E6" w14:paraId="2FCD80DC" w14:textId="77777777" w:rsidTr="1EB669E6">
      <w:trPr>
        <w:trHeight w:val="300"/>
      </w:trPr>
      <w:tc>
        <w:tcPr>
          <w:tcW w:w="3005" w:type="dxa"/>
        </w:tcPr>
        <w:p w14:paraId="2B214B82" w14:textId="58F3C9B8" w:rsidR="1EB669E6" w:rsidRDefault="1EB669E6" w:rsidP="1EB669E6">
          <w:pPr>
            <w:pStyle w:val="Header"/>
            <w:ind w:left="-115"/>
          </w:pPr>
        </w:p>
      </w:tc>
      <w:tc>
        <w:tcPr>
          <w:tcW w:w="3005" w:type="dxa"/>
        </w:tcPr>
        <w:p w14:paraId="2D613722" w14:textId="3F1799EE" w:rsidR="1EB669E6" w:rsidRDefault="1EB669E6" w:rsidP="1EB669E6">
          <w:pPr>
            <w:pStyle w:val="Header"/>
            <w:jc w:val="center"/>
          </w:pPr>
        </w:p>
      </w:tc>
      <w:tc>
        <w:tcPr>
          <w:tcW w:w="3005" w:type="dxa"/>
        </w:tcPr>
        <w:p w14:paraId="189AFBF5" w14:textId="4EA44E17" w:rsidR="1EB669E6" w:rsidRDefault="1EB669E6" w:rsidP="1EB669E6">
          <w:pPr>
            <w:pStyle w:val="Header"/>
            <w:ind w:right="-115"/>
            <w:jc w:val="right"/>
          </w:pPr>
        </w:p>
      </w:tc>
    </w:tr>
  </w:tbl>
  <w:p w14:paraId="4C387249" w14:textId="331E39B2" w:rsidR="1EB669E6" w:rsidRDefault="1EB669E6" w:rsidP="1EB669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EB669E6" w14:paraId="3AFBA425" w14:textId="77777777" w:rsidTr="1EB669E6">
      <w:trPr>
        <w:trHeight w:val="300"/>
      </w:trPr>
      <w:tc>
        <w:tcPr>
          <w:tcW w:w="3005" w:type="dxa"/>
        </w:tcPr>
        <w:p w14:paraId="766921E8" w14:textId="7937606B" w:rsidR="1EB669E6" w:rsidRDefault="1EB669E6" w:rsidP="1EB669E6">
          <w:pPr>
            <w:pStyle w:val="Header"/>
            <w:ind w:left="-115"/>
          </w:pPr>
        </w:p>
      </w:tc>
      <w:tc>
        <w:tcPr>
          <w:tcW w:w="3005" w:type="dxa"/>
        </w:tcPr>
        <w:p w14:paraId="78DDBD73" w14:textId="75BBB56A" w:rsidR="1EB669E6" w:rsidRDefault="1EB669E6" w:rsidP="1EB669E6">
          <w:pPr>
            <w:pStyle w:val="Header"/>
            <w:jc w:val="center"/>
          </w:pPr>
        </w:p>
      </w:tc>
      <w:tc>
        <w:tcPr>
          <w:tcW w:w="3005" w:type="dxa"/>
        </w:tcPr>
        <w:p w14:paraId="6C97470A" w14:textId="6728CC2F" w:rsidR="1EB669E6" w:rsidRDefault="1EB669E6" w:rsidP="1EB669E6">
          <w:pPr>
            <w:pStyle w:val="Header"/>
            <w:ind w:right="-115"/>
            <w:jc w:val="right"/>
          </w:pPr>
        </w:p>
      </w:tc>
    </w:tr>
  </w:tbl>
  <w:p w14:paraId="062741B7" w14:textId="7DBA3983" w:rsidR="1EB669E6" w:rsidRDefault="1EB669E6" w:rsidP="1EB669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47595"/>
    <w:multiLevelType w:val="hybridMultilevel"/>
    <w:tmpl w:val="29728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448977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3B5"/>
    <w:rsid w:val="000016CF"/>
    <w:rsid w:val="00002D95"/>
    <w:rsid w:val="00005A58"/>
    <w:rsid w:val="000129C3"/>
    <w:rsid w:val="00013AF7"/>
    <w:rsid w:val="00023B67"/>
    <w:rsid w:val="00032F1E"/>
    <w:rsid w:val="00051B63"/>
    <w:rsid w:val="00072BA2"/>
    <w:rsid w:val="00084E81"/>
    <w:rsid w:val="000970C2"/>
    <w:rsid w:val="00097F21"/>
    <w:rsid w:val="000A0EF6"/>
    <w:rsid w:val="000A300E"/>
    <w:rsid w:val="000B3B99"/>
    <w:rsid w:val="000C0C2C"/>
    <w:rsid w:val="000D13B0"/>
    <w:rsid w:val="000F3605"/>
    <w:rsid w:val="00106824"/>
    <w:rsid w:val="00106FF0"/>
    <w:rsid w:val="00111D61"/>
    <w:rsid w:val="001156AF"/>
    <w:rsid w:val="00122E29"/>
    <w:rsid w:val="00133BB6"/>
    <w:rsid w:val="00143C0A"/>
    <w:rsid w:val="0014641B"/>
    <w:rsid w:val="00156C18"/>
    <w:rsid w:val="00196280"/>
    <w:rsid w:val="001A0EAA"/>
    <w:rsid w:val="001B095B"/>
    <w:rsid w:val="001C5197"/>
    <w:rsid w:val="001E0AEA"/>
    <w:rsid w:val="001E3507"/>
    <w:rsid w:val="001F40B0"/>
    <w:rsid w:val="00252569"/>
    <w:rsid w:val="00257FA4"/>
    <w:rsid w:val="002732F4"/>
    <w:rsid w:val="00276369"/>
    <w:rsid w:val="00291A0C"/>
    <w:rsid w:val="00293975"/>
    <w:rsid w:val="002A12C1"/>
    <w:rsid w:val="002B5E14"/>
    <w:rsid w:val="002D5B76"/>
    <w:rsid w:val="002D7303"/>
    <w:rsid w:val="002F33F1"/>
    <w:rsid w:val="002F69E4"/>
    <w:rsid w:val="003018D6"/>
    <w:rsid w:val="003102A2"/>
    <w:rsid w:val="00325597"/>
    <w:rsid w:val="00330ECC"/>
    <w:rsid w:val="00350B0C"/>
    <w:rsid w:val="0035465A"/>
    <w:rsid w:val="003712C0"/>
    <w:rsid w:val="003850B3"/>
    <w:rsid w:val="00391472"/>
    <w:rsid w:val="00394781"/>
    <w:rsid w:val="00397700"/>
    <w:rsid w:val="003A36BA"/>
    <w:rsid w:val="003A4EC3"/>
    <w:rsid w:val="003D73EF"/>
    <w:rsid w:val="003E0B21"/>
    <w:rsid w:val="003E23BB"/>
    <w:rsid w:val="003E5814"/>
    <w:rsid w:val="003F49DA"/>
    <w:rsid w:val="0041628D"/>
    <w:rsid w:val="00422553"/>
    <w:rsid w:val="00433DC4"/>
    <w:rsid w:val="00440858"/>
    <w:rsid w:val="00444C13"/>
    <w:rsid w:val="00447A6D"/>
    <w:rsid w:val="00475B26"/>
    <w:rsid w:val="00493442"/>
    <w:rsid w:val="00493CFA"/>
    <w:rsid w:val="00497665"/>
    <w:rsid w:val="004A18A2"/>
    <w:rsid w:val="004A6A84"/>
    <w:rsid w:val="004B09F9"/>
    <w:rsid w:val="004B1B3F"/>
    <w:rsid w:val="004B382D"/>
    <w:rsid w:val="004B4210"/>
    <w:rsid w:val="004B74A7"/>
    <w:rsid w:val="004C1E5B"/>
    <w:rsid w:val="004C4B3E"/>
    <w:rsid w:val="004C6F72"/>
    <w:rsid w:val="004D0DA5"/>
    <w:rsid w:val="004D2A3A"/>
    <w:rsid w:val="004E20E6"/>
    <w:rsid w:val="005007E5"/>
    <w:rsid w:val="005068A6"/>
    <w:rsid w:val="00506BB9"/>
    <w:rsid w:val="00510D1B"/>
    <w:rsid w:val="0051622A"/>
    <w:rsid w:val="00530C1C"/>
    <w:rsid w:val="0054148E"/>
    <w:rsid w:val="005438C1"/>
    <w:rsid w:val="00550643"/>
    <w:rsid w:val="00555FBD"/>
    <w:rsid w:val="00565520"/>
    <w:rsid w:val="00581F84"/>
    <w:rsid w:val="00587B11"/>
    <w:rsid w:val="00591630"/>
    <w:rsid w:val="00595667"/>
    <w:rsid w:val="00597746"/>
    <w:rsid w:val="005A18B0"/>
    <w:rsid w:val="005A4584"/>
    <w:rsid w:val="005C2546"/>
    <w:rsid w:val="005C354A"/>
    <w:rsid w:val="005E724C"/>
    <w:rsid w:val="005F4B4B"/>
    <w:rsid w:val="005F76EF"/>
    <w:rsid w:val="00604DC3"/>
    <w:rsid w:val="00606ABC"/>
    <w:rsid w:val="00617FC9"/>
    <w:rsid w:val="006206E2"/>
    <w:rsid w:val="0064052D"/>
    <w:rsid w:val="0064595B"/>
    <w:rsid w:val="006570B9"/>
    <w:rsid w:val="00657370"/>
    <w:rsid w:val="00676D78"/>
    <w:rsid w:val="006A4658"/>
    <w:rsid w:val="006B49A9"/>
    <w:rsid w:val="006D075E"/>
    <w:rsid w:val="006E4C92"/>
    <w:rsid w:val="006E68B2"/>
    <w:rsid w:val="00706068"/>
    <w:rsid w:val="007310EA"/>
    <w:rsid w:val="00732BA9"/>
    <w:rsid w:val="00752C0C"/>
    <w:rsid w:val="00755F0C"/>
    <w:rsid w:val="00767603"/>
    <w:rsid w:val="00776823"/>
    <w:rsid w:val="00782E17"/>
    <w:rsid w:val="007A1F34"/>
    <w:rsid w:val="007A2C07"/>
    <w:rsid w:val="007A469B"/>
    <w:rsid w:val="007A7370"/>
    <w:rsid w:val="007A7E8A"/>
    <w:rsid w:val="007E7734"/>
    <w:rsid w:val="007F0AF1"/>
    <w:rsid w:val="007F627B"/>
    <w:rsid w:val="008026A4"/>
    <w:rsid w:val="00820459"/>
    <w:rsid w:val="00835098"/>
    <w:rsid w:val="00844D98"/>
    <w:rsid w:val="00854B92"/>
    <w:rsid w:val="0087359B"/>
    <w:rsid w:val="00892DA8"/>
    <w:rsid w:val="00895141"/>
    <w:rsid w:val="00897BF1"/>
    <w:rsid w:val="008A5547"/>
    <w:rsid w:val="008B46CE"/>
    <w:rsid w:val="008C7EA8"/>
    <w:rsid w:val="008E06B3"/>
    <w:rsid w:val="008F776D"/>
    <w:rsid w:val="00905433"/>
    <w:rsid w:val="00906627"/>
    <w:rsid w:val="00954525"/>
    <w:rsid w:val="00961784"/>
    <w:rsid w:val="00963CF5"/>
    <w:rsid w:val="009663B2"/>
    <w:rsid w:val="009A1DB6"/>
    <w:rsid w:val="009A71B2"/>
    <w:rsid w:val="009A7B95"/>
    <w:rsid w:val="009B3ADC"/>
    <w:rsid w:val="009B776A"/>
    <w:rsid w:val="009C395C"/>
    <w:rsid w:val="009D2E32"/>
    <w:rsid w:val="009E1498"/>
    <w:rsid w:val="009F7641"/>
    <w:rsid w:val="00A36374"/>
    <w:rsid w:val="00A370C3"/>
    <w:rsid w:val="00A47E00"/>
    <w:rsid w:val="00A54697"/>
    <w:rsid w:val="00A67953"/>
    <w:rsid w:val="00A77BC5"/>
    <w:rsid w:val="00A94F5D"/>
    <w:rsid w:val="00AE32BA"/>
    <w:rsid w:val="00AE7296"/>
    <w:rsid w:val="00AF0A4B"/>
    <w:rsid w:val="00B30DA9"/>
    <w:rsid w:val="00B3230C"/>
    <w:rsid w:val="00B37A32"/>
    <w:rsid w:val="00B442DE"/>
    <w:rsid w:val="00B443F0"/>
    <w:rsid w:val="00B44930"/>
    <w:rsid w:val="00B52201"/>
    <w:rsid w:val="00B85C39"/>
    <w:rsid w:val="00B870D5"/>
    <w:rsid w:val="00B973B5"/>
    <w:rsid w:val="00BA1680"/>
    <w:rsid w:val="00BB0CF6"/>
    <w:rsid w:val="00BC405A"/>
    <w:rsid w:val="00BD36CB"/>
    <w:rsid w:val="00BE4E19"/>
    <w:rsid w:val="00BF0BD8"/>
    <w:rsid w:val="00BF760A"/>
    <w:rsid w:val="00C001E0"/>
    <w:rsid w:val="00C011B8"/>
    <w:rsid w:val="00C02E16"/>
    <w:rsid w:val="00C04C5A"/>
    <w:rsid w:val="00C0721F"/>
    <w:rsid w:val="00C148B0"/>
    <w:rsid w:val="00C50EB9"/>
    <w:rsid w:val="00C635C1"/>
    <w:rsid w:val="00CA33B7"/>
    <w:rsid w:val="00CD6614"/>
    <w:rsid w:val="00CD7295"/>
    <w:rsid w:val="00CE67F6"/>
    <w:rsid w:val="00D16347"/>
    <w:rsid w:val="00D31618"/>
    <w:rsid w:val="00D72553"/>
    <w:rsid w:val="00D84C73"/>
    <w:rsid w:val="00D865AB"/>
    <w:rsid w:val="00D95900"/>
    <w:rsid w:val="00DA1E23"/>
    <w:rsid w:val="00DA3C70"/>
    <w:rsid w:val="00DA7EE9"/>
    <w:rsid w:val="00DC33A1"/>
    <w:rsid w:val="00DC7C38"/>
    <w:rsid w:val="00DD19FF"/>
    <w:rsid w:val="00DE09F7"/>
    <w:rsid w:val="00DE28B6"/>
    <w:rsid w:val="00DE39E6"/>
    <w:rsid w:val="00DE765F"/>
    <w:rsid w:val="00DF791F"/>
    <w:rsid w:val="00DF7940"/>
    <w:rsid w:val="00E113A5"/>
    <w:rsid w:val="00E13058"/>
    <w:rsid w:val="00E21111"/>
    <w:rsid w:val="00E61567"/>
    <w:rsid w:val="00E7656D"/>
    <w:rsid w:val="00E82DAC"/>
    <w:rsid w:val="00E96C9A"/>
    <w:rsid w:val="00EC1E2D"/>
    <w:rsid w:val="00ED1E4D"/>
    <w:rsid w:val="00ED724B"/>
    <w:rsid w:val="00EE77D8"/>
    <w:rsid w:val="00EF0A0C"/>
    <w:rsid w:val="00F0125C"/>
    <w:rsid w:val="00F155AE"/>
    <w:rsid w:val="00F35ED9"/>
    <w:rsid w:val="00F44ACE"/>
    <w:rsid w:val="00F46246"/>
    <w:rsid w:val="00F46C18"/>
    <w:rsid w:val="00F53956"/>
    <w:rsid w:val="00F56209"/>
    <w:rsid w:val="00F86BC7"/>
    <w:rsid w:val="00F96AF5"/>
    <w:rsid w:val="00FB3957"/>
    <w:rsid w:val="00FE7189"/>
    <w:rsid w:val="0160FAAC"/>
    <w:rsid w:val="022D19B2"/>
    <w:rsid w:val="028F4761"/>
    <w:rsid w:val="02B90BD3"/>
    <w:rsid w:val="02B9C723"/>
    <w:rsid w:val="02FCCB0D"/>
    <w:rsid w:val="03BA8EAB"/>
    <w:rsid w:val="04F47811"/>
    <w:rsid w:val="06318C85"/>
    <w:rsid w:val="06EC5DE6"/>
    <w:rsid w:val="07008AD5"/>
    <w:rsid w:val="089C5B36"/>
    <w:rsid w:val="0A22F7F1"/>
    <w:rsid w:val="0BE255CF"/>
    <w:rsid w:val="0C579E90"/>
    <w:rsid w:val="0D1CF086"/>
    <w:rsid w:val="0FD32623"/>
    <w:rsid w:val="108DECAC"/>
    <w:rsid w:val="10C2CE5F"/>
    <w:rsid w:val="1178D9AE"/>
    <w:rsid w:val="12078DF1"/>
    <w:rsid w:val="121DD5B6"/>
    <w:rsid w:val="13F291B8"/>
    <w:rsid w:val="151ED38D"/>
    <w:rsid w:val="156E9ED5"/>
    <w:rsid w:val="16DAFF14"/>
    <w:rsid w:val="1CEBD38E"/>
    <w:rsid w:val="1EB669E6"/>
    <w:rsid w:val="2025D35D"/>
    <w:rsid w:val="257D115D"/>
    <w:rsid w:val="27B884DF"/>
    <w:rsid w:val="29E6EF20"/>
    <w:rsid w:val="2B32CE58"/>
    <w:rsid w:val="2B766F74"/>
    <w:rsid w:val="2B9056FC"/>
    <w:rsid w:val="2CB5765C"/>
    <w:rsid w:val="3086CA4D"/>
    <w:rsid w:val="3195A303"/>
    <w:rsid w:val="31A1C83E"/>
    <w:rsid w:val="31B63CCB"/>
    <w:rsid w:val="32C43117"/>
    <w:rsid w:val="343FFB00"/>
    <w:rsid w:val="353F3D54"/>
    <w:rsid w:val="37C8B8E1"/>
    <w:rsid w:val="37F82903"/>
    <w:rsid w:val="38257E4F"/>
    <w:rsid w:val="39648942"/>
    <w:rsid w:val="39E1A41E"/>
    <w:rsid w:val="3DBF5D19"/>
    <w:rsid w:val="3DCDB4E9"/>
    <w:rsid w:val="40007C97"/>
    <w:rsid w:val="4501AE37"/>
    <w:rsid w:val="47E6CA31"/>
    <w:rsid w:val="4A2430FB"/>
    <w:rsid w:val="4E165A0A"/>
    <w:rsid w:val="52EF43CB"/>
    <w:rsid w:val="544CAFED"/>
    <w:rsid w:val="584EF4F0"/>
    <w:rsid w:val="58CCC436"/>
    <w:rsid w:val="592DF374"/>
    <w:rsid w:val="59359ACB"/>
    <w:rsid w:val="59A6F57F"/>
    <w:rsid w:val="5A7E4350"/>
    <w:rsid w:val="5C3E9975"/>
    <w:rsid w:val="5D520F8F"/>
    <w:rsid w:val="5DEF76D3"/>
    <w:rsid w:val="5E8C2B10"/>
    <w:rsid w:val="5EF1527B"/>
    <w:rsid w:val="5F4D13B2"/>
    <w:rsid w:val="5F8F6294"/>
    <w:rsid w:val="60F8F782"/>
    <w:rsid w:val="61120A98"/>
    <w:rsid w:val="613F5FE4"/>
    <w:rsid w:val="615D87D7"/>
    <w:rsid w:val="62ADDAF9"/>
    <w:rsid w:val="635F7857"/>
    <w:rsid w:val="63A20967"/>
    <w:rsid w:val="640BE450"/>
    <w:rsid w:val="660D1C68"/>
    <w:rsid w:val="668B6CD4"/>
    <w:rsid w:val="6769203F"/>
    <w:rsid w:val="691D1C7D"/>
    <w:rsid w:val="6BB6A76C"/>
    <w:rsid w:val="6EE153CD"/>
    <w:rsid w:val="72930090"/>
    <w:rsid w:val="770CBD0B"/>
    <w:rsid w:val="77BF20B0"/>
    <w:rsid w:val="79AF3865"/>
    <w:rsid w:val="7A27033A"/>
    <w:rsid w:val="7A7BD704"/>
    <w:rsid w:val="7CC4EE5E"/>
    <w:rsid w:val="7DFA7E43"/>
    <w:rsid w:val="7E60BEBF"/>
    <w:rsid w:val="7F9ADA1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551E6"/>
  <w15:chartTrackingRefBased/>
  <w15:docId w15:val="{16A319BC-3F70-4815-ADFE-68024E485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customStyle="1" w:styleId="GuidanceHeading">
    <w:name w:val="Guidance Heading"/>
    <w:basedOn w:val="Normal"/>
    <w:link w:val="GuidanceHeadingChar"/>
    <w:qFormat/>
    <w:rsid w:val="00B443F0"/>
    <w:pPr>
      <w:spacing w:after="200" w:line="276" w:lineRule="auto"/>
    </w:pPr>
    <w:rPr>
      <w:rFonts w:ascii="Calibri" w:eastAsia="Calibri" w:hAnsi="Calibri" w:cs="Times New Roman"/>
      <w:b/>
      <w:color w:val="00949E"/>
      <w:kern w:val="0"/>
      <w:sz w:val="32"/>
      <w:szCs w:val="28"/>
      <w14:ligatures w14:val="none"/>
    </w:rPr>
  </w:style>
  <w:style w:type="paragraph" w:customStyle="1" w:styleId="Guidancebodytext">
    <w:name w:val="Guidance body text"/>
    <w:basedOn w:val="Normal"/>
    <w:qFormat/>
    <w:rsid w:val="00B443F0"/>
    <w:pPr>
      <w:spacing w:after="200" w:line="276" w:lineRule="auto"/>
    </w:pPr>
    <w:rPr>
      <w:rFonts w:ascii="Calibri" w:eastAsia="Calibri" w:hAnsi="Calibri" w:cs="Times New Roman"/>
      <w:color w:val="808080"/>
      <w:kern w:val="0"/>
      <w14:ligatures w14:val="none"/>
    </w:rPr>
  </w:style>
  <w:style w:type="character" w:customStyle="1" w:styleId="GuidanceHeadingChar">
    <w:name w:val="Guidance Heading Char"/>
    <w:link w:val="GuidanceHeading"/>
    <w:rsid w:val="00B443F0"/>
    <w:rPr>
      <w:rFonts w:ascii="Calibri" w:eastAsia="Calibri" w:hAnsi="Calibri" w:cs="Times New Roman"/>
      <w:b/>
      <w:color w:val="00949E"/>
      <w:kern w:val="0"/>
      <w:sz w:val="32"/>
      <w:szCs w:val="28"/>
      <w14:ligatures w14:val="none"/>
    </w:rPr>
  </w:style>
  <w:style w:type="paragraph" w:customStyle="1" w:styleId="Policyprinciples">
    <w:name w:val="Policy principles"/>
    <w:basedOn w:val="Normal"/>
    <w:link w:val="PolicyprinciplesChar"/>
    <w:rsid w:val="00B443F0"/>
    <w:pPr>
      <w:autoSpaceDE w:val="0"/>
      <w:autoSpaceDN w:val="0"/>
      <w:adjustRightInd w:val="0"/>
      <w:spacing w:after="0" w:line="240" w:lineRule="auto"/>
    </w:pPr>
    <w:rPr>
      <w:rFonts w:ascii="Calibri" w:eastAsia="Calibri" w:hAnsi="Calibri" w:cs="Georgia-Bold"/>
      <w:b/>
      <w:bCs/>
      <w:color w:val="808080"/>
      <w:kern w:val="0"/>
      <w14:ligatures w14:val="none"/>
    </w:rPr>
  </w:style>
  <w:style w:type="paragraph" w:customStyle="1" w:styleId="Guidancesub-heading">
    <w:name w:val="Guidance sub-heading"/>
    <w:basedOn w:val="Normal"/>
    <w:link w:val="Guidancesub-headingChar"/>
    <w:autoRedefine/>
    <w:qFormat/>
    <w:rsid w:val="00B443F0"/>
    <w:pPr>
      <w:pBdr>
        <w:bottom w:val="single" w:sz="4" w:space="1" w:color="00949E"/>
      </w:pBdr>
      <w:spacing w:before="200" w:after="280" w:line="276" w:lineRule="auto"/>
      <w:ind w:right="936"/>
    </w:pPr>
    <w:rPr>
      <w:rFonts w:ascii="Outfit" w:eastAsia="Calibri" w:hAnsi="Outfit" w:cs="Times New Roman"/>
      <w:b/>
      <w:kern w:val="0"/>
      <w:sz w:val="24"/>
      <w:szCs w:val="24"/>
      <w:u w:color="00949E"/>
      <w14:ligatures w14:val="none"/>
    </w:rPr>
  </w:style>
  <w:style w:type="character" w:customStyle="1" w:styleId="PolicyprinciplesChar">
    <w:name w:val="Policy principles Char"/>
    <w:link w:val="Policyprinciples"/>
    <w:rsid w:val="00B443F0"/>
    <w:rPr>
      <w:rFonts w:ascii="Calibri" w:eastAsia="Calibri" w:hAnsi="Calibri" w:cs="Georgia-Bold"/>
      <w:b/>
      <w:bCs/>
      <w:color w:val="808080"/>
      <w:kern w:val="0"/>
      <w14:ligatures w14:val="none"/>
    </w:rPr>
  </w:style>
  <w:style w:type="character" w:customStyle="1" w:styleId="Guidancesub-headingChar">
    <w:name w:val="Guidance sub-heading Char"/>
    <w:link w:val="Guidancesub-heading"/>
    <w:rsid w:val="00B443F0"/>
    <w:rPr>
      <w:rFonts w:ascii="Outfit" w:eastAsia="Calibri" w:hAnsi="Outfit" w:cs="Times New Roman"/>
      <w:b/>
      <w:kern w:val="0"/>
      <w:sz w:val="24"/>
      <w:szCs w:val="24"/>
      <w:u w:color="00949E"/>
      <w14:ligatures w14:val="none"/>
    </w:rPr>
  </w:style>
  <w:style w:type="paragraph" w:styleId="Revision">
    <w:name w:val="Revision"/>
    <w:hidden/>
    <w:uiPriority w:val="99"/>
    <w:semiHidden/>
    <w:rsid w:val="001E0A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677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CD16965E40354E83AF52B4F100C0BC" ma:contentTypeVersion="19" ma:contentTypeDescription="Create a new document." ma:contentTypeScope="" ma:versionID="d3ca11d634db1bf03f3f53efd57406ab">
  <xsd:schema xmlns:xsd="http://www.w3.org/2001/XMLSchema" xmlns:xs="http://www.w3.org/2001/XMLSchema" xmlns:p="http://schemas.microsoft.com/office/2006/metadata/properties" xmlns:ns2="50cb5de6-f12a-4aa8-8384-78222a2e2c5e" xmlns:ns3="5df0194d-3606-4a33-96d0-98a07738492e" targetNamespace="http://schemas.microsoft.com/office/2006/metadata/properties" ma:root="true" ma:fieldsID="07f00f52f84a08b7c893ea53665f3614" ns2:_="" ns3:_="">
    <xsd:import namespace="50cb5de6-f12a-4aa8-8384-78222a2e2c5e"/>
    <xsd:import namespace="5df0194d-3606-4a33-96d0-98a07738492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cb5de6-f12a-4aa8-8384-78222a2e2c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103e67f-0598-4a90-8a4a-cec34b03bfa0"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s" ma:index="26" nillable="true" ma:displayName="Notes" ma:format="Dropdown" ma:internalName="Notes">
      <xsd:simpleType>
        <xsd:union memberTypes="dms:Text">
          <xsd:simpleType>
            <xsd:restriction base="dms:Choice">
              <xsd:enumeration value="Update"/>
              <xsd:enumeration value="Old Copy"/>
              <xsd:enumeration value="Current document"/>
              <xsd:enumeration value="Draft"/>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5df0194d-3606-4a33-96d0-98a07738492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e47ed5b-833e-48e3-bfe6-a4bdbb597f2c}" ma:internalName="TaxCatchAll" ma:showField="CatchAllData" ma:web="5df0194d-3606-4a33-96d0-98a0773849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5df0194d-3606-4a33-96d0-98a07738492e">
      <UserInfo>
        <DisplayName>Symons, Beth</DisplayName>
        <AccountId>674</AccountId>
        <AccountType/>
      </UserInfo>
    </SharedWithUsers>
    <Notes xmlns="50cb5de6-f12a-4aa8-8384-78222a2e2c5e" xsi:nil="true"/>
    <TaxCatchAll xmlns="5df0194d-3606-4a33-96d0-98a07738492e"/>
    <lcf76f155ced4ddcb4097134ff3c332f xmlns="50cb5de6-f12a-4aa8-8384-78222a2e2c5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77DC665-5CA8-43E9-B9D4-787168D9C5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cb5de6-f12a-4aa8-8384-78222a2e2c5e"/>
    <ds:schemaRef ds:uri="5df0194d-3606-4a33-96d0-98a0773849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C5A0C2-2258-4DF7-A198-6A14A338A288}">
  <ds:schemaRefs>
    <ds:schemaRef ds:uri="http://schemas.microsoft.com/sharepoint/v3/contenttype/forms"/>
  </ds:schemaRefs>
</ds:datastoreItem>
</file>

<file path=customXml/itemProps3.xml><?xml version="1.0" encoding="utf-8"?>
<ds:datastoreItem xmlns:ds="http://schemas.openxmlformats.org/officeDocument/2006/customXml" ds:itemID="{6306C1DB-16FD-4AB1-8F8A-04DEA76C60DB}">
  <ds:schemaRefs>
    <ds:schemaRef ds:uri="http://schemas.openxmlformats.org/package/2006/metadata/core-properties"/>
    <ds:schemaRef ds:uri="http://purl.org/dc/elements/1.1/"/>
    <ds:schemaRef ds:uri="5df0194d-3606-4a33-96d0-98a07738492e"/>
    <ds:schemaRef ds:uri="http://purl.org/dc/dcmitype/"/>
    <ds:schemaRef ds:uri="http://schemas.microsoft.com/office/2006/documentManagement/types"/>
    <ds:schemaRef ds:uri="http://purl.org/dc/terms/"/>
    <ds:schemaRef ds:uri="http://www.w3.org/XML/1998/namespace"/>
    <ds:schemaRef ds:uri="http://schemas.microsoft.com/office/infopath/2007/PartnerControls"/>
    <ds:schemaRef ds:uri="50cb5de6-f12a-4aa8-8384-78222a2e2c5e"/>
    <ds:schemaRef ds:uri="http://schemas.microsoft.com/office/2006/metadata/properties"/>
  </ds:schemaRefs>
</ds:datastoreItem>
</file>

<file path=docMetadata/LabelInfo.xml><?xml version="1.0" encoding="utf-8"?>
<clbl:labelList xmlns:clbl="http://schemas.microsoft.com/office/2020/mipLabelMetadata">
  <clbl:label id="{912a5d77-fb98-4eee-af32-1334d8f04a53}" enabled="0" method="" siteId="{912a5d77-fb98-4eee-af32-1334d8f04a53}"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408</Words>
  <Characters>2326</Characters>
  <Application>Microsoft Office Word</Application>
  <DocSecurity>0</DocSecurity>
  <Lines>19</Lines>
  <Paragraphs>5</Paragraphs>
  <ScaleCrop>false</ScaleCrop>
  <Company>University of Exeter</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Woollam, Charlotte</dc:creator>
  <cp:keywords/>
  <dc:description/>
  <cp:lastModifiedBy>Hilton, Emma</cp:lastModifiedBy>
  <cp:revision>2</cp:revision>
  <dcterms:created xsi:type="dcterms:W3CDTF">2025-09-25T14:06:00Z</dcterms:created>
  <dcterms:modified xsi:type="dcterms:W3CDTF">2025-09-25T14:06:00Z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0x01010049CD16965E40354E83AF52B4F100C0BC</vt:lpwstr>
  </property>
  <property fmtid="{D5CDD505-2E9C-101B-9397-08002B2CF9AE}" pid="3" name="MediaServiceImageTags">
    <vt:lpwstr/>
  </property>
</Properties>
</file>