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57" w:rsidRDefault="00FD451B" w:rsidP="002A51AD">
      <w:r w:rsidRPr="005E4157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4177945</wp:posOffset>
            </wp:positionH>
            <wp:positionV relativeFrom="paragraph">
              <wp:posOffset>354</wp:posOffset>
            </wp:positionV>
            <wp:extent cx="2317115" cy="914400"/>
            <wp:effectExtent l="0" t="0" r="6985" b="0"/>
            <wp:wrapTight wrapText="bothSides">
              <wp:wrapPolygon edited="0">
                <wp:start x="0" y="0"/>
                <wp:lineTo x="0" y="21150"/>
                <wp:lineTo x="21488" y="21150"/>
                <wp:lineTo x="2148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1AD">
        <w:rPr>
          <w:noProof/>
          <w:lang w:val="en-GB" w:eastAsia="en-GB"/>
        </w:rPr>
        <w:drawing>
          <wp:inline distT="0" distB="0" distL="0" distR="0" wp14:anchorId="46537153" wp14:editId="0A2F551F">
            <wp:extent cx="1839433" cy="755811"/>
            <wp:effectExtent l="0" t="0" r="8890" b="6350"/>
            <wp:docPr id="1" name="Picture 1" descr="http://www.exeter.ac.uk/departments/communication/mark-ops/design/visualidentity/logos/colou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xeter.ac.uk/departments/communication/mark-ops/design/visualidentity/logos/colour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25" cy="7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157" w:rsidRDefault="005E4157" w:rsidP="001664A7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DAFA8D6" wp14:editId="5088D741">
                <wp:extent cx="302260" cy="302260"/>
                <wp:effectExtent l="0" t="0" r="0" b="0"/>
                <wp:docPr id="3" name="AutoShap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78CAC" id="AutoShape 3" o:spid="_x0000_s1026" alt="Logo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5E4157" w:rsidRPr="00FD451B" w:rsidRDefault="002A51AD" w:rsidP="002A51AD">
      <w:pPr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FD451B">
        <w:rPr>
          <w:rFonts w:eastAsia="Times New Roman" w:cstheme="minorHAnsi"/>
          <w:b/>
          <w:color w:val="000000"/>
          <w:sz w:val="24"/>
          <w:szCs w:val="24"/>
          <w:lang w:eastAsia="en-GB"/>
        </w:rPr>
        <w:t>Advancing Equality, Diversity, and Inclusivity</w:t>
      </w:r>
      <w:r w:rsidR="004314F0" w:rsidRPr="00FD451B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(EDI)</w:t>
      </w:r>
      <w:r w:rsidRPr="00FD451B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at Exeter through Cultural Competence</w:t>
      </w:r>
    </w:p>
    <w:p w:rsidR="002A51AD" w:rsidRPr="00FD451B" w:rsidRDefault="00EC71BD" w:rsidP="002A51A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Pilot Programme - </w:t>
      </w:r>
      <w:r w:rsidR="002A51AD" w:rsidRPr="00FD451B">
        <w:rPr>
          <w:rFonts w:cstheme="minorHAnsi"/>
          <w:b/>
          <w:sz w:val="24"/>
          <w:szCs w:val="24"/>
        </w:rPr>
        <w:t>Community of Practice Application Form</w:t>
      </w:r>
    </w:p>
    <w:p w:rsidR="002A51AD" w:rsidRPr="00FC5FF0" w:rsidRDefault="00FC5FF0" w:rsidP="002A51AD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Introduction</w:t>
      </w:r>
    </w:p>
    <w:p w:rsidR="00FC5FF0" w:rsidRPr="00FD451B" w:rsidRDefault="00FC5FF0" w:rsidP="002A51AD">
      <w:pPr>
        <w:spacing w:after="0" w:line="240" w:lineRule="auto"/>
        <w:rPr>
          <w:rFonts w:cstheme="minorHAnsi"/>
          <w:sz w:val="24"/>
          <w:szCs w:val="24"/>
        </w:rPr>
      </w:pPr>
    </w:p>
    <w:p w:rsidR="004314F0" w:rsidRPr="00FD451B" w:rsidRDefault="004314F0" w:rsidP="004314F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D451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University of Exeter and National Centre for Cultural Competence at Georgetown University (NCCC) are working together advance EDI at Exeter by </w:t>
      </w:r>
      <w:r w:rsidR="00EC71B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piloting a </w:t>
      </w:r>
      <w:proofErr w:type="spellStart"/>
      <w:r w:rsidR="00EC71BD">
        <w:rPr>
          <w:rFonts w:eastAsia="Times New Roman" w:cstheme="minorHAnsi"/>
          <w:color w:val="000000"/>
          <w:sz w:val="24"/>
          <w:szCs w:val="24"/>
          <w:lang w:eastAsia="en-GB"/>
        </w:rPr>
        <w:t>programme</w:t>
      </w:r>
      <w:proofErr w:type="spellEnd"/>
      <w:r w:rsidR="00EC71B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to </w:t>
      </w:r>
      <w:r w:rsidRPr="00FD451B">
        <w:rPr>
          <w:rFonts w:eastAsia="Times New Roman" w:cstheme="minorHAnsi"/>
          <w:color w:val="000000"/>
          <w:sz w:val="24"/>
          <w:szCs w:val="24"/>
          <w:lang w:eastAsia="en-GB"/>
        </w:rPr>
        <w:t>establish</w:t>
      </w:r>
      <w:r w:rsidR="00EC71B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FD451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 Community of Practice of leaders in cultural competence. The </w:t>
      </w:r>
      <w:proofErr w:type="spellStart"/>
      <w:r w:rsidRPr="00FD451B">
        <w:rPr>
          <w:rFonts w:eastAsia="Times New Roman" w:cstheme="minorHAnsi"/>
          <w:color w:val="000000"/>
          <w:sz w:val="24"/>
          <w:szCs w:val="24"/>
          <w:lang w:eastAsia="en-GB"/>
        </w:rPr>
        <w:t>programme</w:t>
      </w:r>
      <w:proofErr w:type="spellEnd"/>
      <w:r w:rsidRPr="00FD451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will work with the Community of Practice to:</w:t>
      </w:r>
    </w:p>
    <w:p w:rsidR="004314F0" w:rsidRPr="00FD451B" w:rsidRDefault="004314F0" w:rsidP="004314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D451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Define cultural competence within a range of contexts and </w:t>
      </w:r>
      <w:r w:rsidR="000A0AB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define </w:t>
      </w:r>
      <w:r w:rsidRPr="00FD451B">
        <w:rPr>
          <w:rFonts w:eastAsia="Times New Roman" w:cstheme="minorHAnsi"/>
          <w:color w:val="000000"/>
          <w:sz w:val="24"/>
          <w:szCs w:val="24"/>
          <w:lang w:eastAsia="en-GB"/>
        </w:rPr>
        <w:t>the rationales for cultural competence at Exeter</w:t>
      </w:r>
    </w:p>
    <w:p w:rsidR="004314F0" w:rsidRPr="00FD451B" w:rsidRDefault="004314F0" w:rsidP="004314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D451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Identify and examine the implications/benefits of culturally competent systems, </w:t>
      </w:r>
      <w:proofErr w:type="spellStart"/>
      <w:r w:rsidRPr="00FD451B">
        <w:rPr>
          <w:rFonts w:eastAsia="Times New Roman" w:cstheme="minorHAnsi"/>
          <w:color w:val="000000"/>
          <w:sz w:val="24"/>
          <w:szCs w:val="24"/>
          <w:lang w:eastAsia="en-GB"/>
        </w:rPr>
        <w:t>behaviours</w:t>
      </w:r>
      <w:proofErr w:type="spellEnd"/>
      <w:r w:rsidRPr="00FD451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processes on outcomes and experiences for staff and students</w:t>
      </w:r>
    </w:p>
    <w:p w:rsidR="004314F0" w:rsidRPr="00FD451B" w:rsidRDefault="004314F0" w:rsidP="004314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D451B">
        <w:rPr>
          <w:rFonts w:eastAsia="Times New Roman" w:cstheme="minorHAnsi"/>
          <w:color w:val="000000"/>
          <w:sz w:val="24"/>
          <w:szCs w:val="24"/>
          <w:lang w:eastAsia="en-GB"/>
        </w:rPr>
        <w:t>Identify how the benefits of cultural competence could be applied to the respective areas of the participants</w:t>
      </w:r>
    </w:p>
    <w:p w:rsidR="004314F0" w:rsidRPr="00FD451B" w:rsidRDefault="004314F0" w:rsidP="004314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D451B">
        <w:rPr>
          <w:rFonts w:eastAsia="Times New Roman" w:cstheme="minorHAnsi"/>
          <w:color w:val="000000"/>
          <w:sz w:val="24"/>
          <w:szCs w:val="24"/>
          <w:lang w:eastAsia="en-GB"/>
        </w:rPr>
        <w:t>Develop actions, projects and next steps in relation to the participants’ respective areas</w:t>
      </w:r>
    </w:p>
    <w:p w:rsidR="004314F0" w:rsidRPr="00FD451B" w:rsidRDefault="004314F0" w:rsidP="004314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D451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Share the experience and knowledge gained with the wider community. </w:t>
      </w:r>
    </w:p>
    <w:p w:rsidR="004314F0" w:rsidRDefault="004314F0" w:rsidP="004314F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052136" w:rsidRPr="00052136" w:rsidRDefault="00052136" w:rsidP="00052136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052136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Please ensure you have read the details and guidelines on the </w:t>
      </w:r>
      <w:proofErr w:type="spellStart"/>
      <w:r w:rsidRPr="00052136">
        <w:rPr>
          <w:rFonts w:eastAsia="Times New Roman" w:cstheme="minorHAnsi"/>
          <w:b/>
          <w:color w:val="000000"/>
          <w:sz w:val="24"/>
          <w:szCs w:val="24"/>
          <w:lang w:eastAsia="en-GB"/>
        </w:rPr>
        <w:t>programme</w:t>
      </w:r>
      <w:proofErr w:type="spellEnd"/>
      <w:r w:rsidRPr="00052136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before applying. </w:t>
      </w:r>
    </w:p>
    <w:p w:rsidR="00052136" w:rsidRDefault="00052136" w:rsidP="004314F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2A51AD" w:rsidRPr="00FD451B" w:rsidRDefault="002A51AD" w:rsidP="001664A7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FD451B">
        <w:rPr>
          <w:rFonts w:cstheme="minorHAnsi"/>
          <w:sz w:val="24"/>
          <w:szCs w:val="24"/>
          <w:u w:val="single"/>
        </w:rPr>
        <w:t>How to apply</w:t>
      </w:r>
    </w:p>
    <w:p w:rsidR="001664A7" w:rsidRPr="00FD451B" w:rsidRDefault="001664A7" w:rsidP="001664A7">
      <w:pPr>
        <w:spacing w:after="0" w:line="240" w:lineRule="auto"/>
        <w:rPr>
          <w:rFonts w:cstheme="minorHAnsi"/>
          <w:sz w:val="24"/>
          <w:szCs w:val="24"/>
        </w:rPr>
      </w:pPr>
    </w:p>
    <w:p w:rsidR="00FD451B" w:rsidRPr="00FC5FF0" w:rsidRDefault="004314F0" w:rsidP="001664A7">
      <w:pPr>
        <w:spacing w:after="0" w:line="240" w:lineRule="auto"/>
        <w:rPr>
          <w:rFonts w:cstheme="minorHAnsi"/>
          <w:sz w:val="24"/>
          <w:szCs w:val="24"/>
        </w:rPr>
      </w:pPr>
      <w:r w:rsidRPr="00FD451B">
        <w:rPr>
          <w:rFonts w:cstheme="minorHAnsi"/>
          <w:sz w:val="24"/>
          <w:szCs w:val="24"/>
        </w:rPr>
        <w:t xml:space="preserve">This </w:t>
      </w:r>
      <w:proofErr w:type="spellStart"/>
      <w:r w:rsidRPr="00FD451B">
        <w:rPr>
          <w:rFonts w:cstheme="minorHAnsi"/>
          <w:sz w:val="24"/>
          <w:szCs w:val="24"/>
        </w:rPr>
        <w:t>programme</w:t>
      </w:r>
      <w:proofErr w:type="spellEnd"/>
      <w:r w:rsidRPr="00FD451B">
        <w:rPr>
          <w:rFonts w:cstheme="minorHAnsi"/>
          <w:sz w:val="24"/>
          <w:szCs w:val="24"/>
        </w:rPr>
        <w:t xml:space="preserve"> is for academic and professional services staff with </w:t>
      </w:r>
      <w:r w:rsidR="00EC71BD">
        <w:rPr>
          <w:rFonts w:cstheme="minorHAnsi"/>
          <w:sz w:val="24"/>
          <w:szCs w:val="24"/>
        </w:rPr>
        <w:t>the ability to develop, deliver and lead change in their respective areas</w:t>
      </w:r>
      <w:r w:rsidR="00052136">
        <w:rPr>
          <w:rFonts w:cstheme="minorHAnsi"/>
          <w:sz w:val="24"/>
          <w:szCs w:val="24"/>
        </w:rPr>
        <w:t>; this could be at a local or a strategic level</w:t>
      </w:r>
      <w:r w:rsidR="00EC71BD">
        <w:rPr>
          <w:rFonts w:cstheme="minorHAnsi"/>
          <w:sz w:val="24"/>
          <w:szCs w:val="24"/>
        </w:rPr>
        <w:t xml:space="preserve">. </w:t>
      </w:r>
      <w:r w:rsidR="00EC71BD" w:rsidRPr="00052136">
        <w:rPr>
          <w:rFonts w:cstheme="minorHAnsi"/>
          <w:sz w:val="24"/>
          <w:szCs w:val="24"/>
          <w:u w:val="single"/>
        </w:rPr>
        <w:t>Applications are encouraged from staff from a wide range of backgrounds</w:t>
      </w:r>
      <w:r w:rsidR="00FC5FF0">
        <w:rPr>
          <w:rFonts w:cstheme="minorHAnsi"/>
          <w:sz w:val="24"/>
          <w:szCs w:val="24"/>
          <w:u w:val="single"/>
        </w:rPr>
        <w:t>,</w:t>
      </w:r>
      <w:r w:rsidR="00EC71BD" w:rsidRPr="00052136">
        <w:rPr>
          <w:rFonts w:cstheme="minorHAnsi"/>
          <w:sz w:val="24"/>
          <w:szCs w:val="24"/>
          <w:u w:val="single"/>
        </w:rPr>
        <w:t xml:space="preserve"> different levels and stages of their careers.</w:t>
      </w:r>
      <w:r w:rsidR="00052136">
        <w:rPr>
          <w:rFonts w:cstheme="minorHAnsi"/>
          <w:sz w:val="24"/>
          <w:szCs w:val="24"/>
          <w:u w:val="single"/>
        </w:rPr>
        <w:t xml:space="preserve"> </w:t>
      </w:r>
    </w:p>
    <w:p w:rsidR="003F4930" w:rsidRDefault="003F4930" w:rsidP="001664A7">
      <w:pPr>
        <w:spacing w:after="0" w:line="240" w:lineRule="auto"/>
        <w:rPr>
          <w:rFonts w:cstheme="minorHAnsi"/>
          <w:sz w:val="24"/>
          <w:szCs w:val="24"/>
        </w:rPr>
      </w:pPr>
    </w:p>
    <w:p w:rsidR="003F4930" w:rsidRDefault="003F4930" w:rsidP="001664A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Applications from each college and service area are encouraged and where possible the Steering Group will look to ensure representation from different areas of the institution. </w:t>
      </w:r>
    </w:p>
    <w:p w:rsidR="003F4930" w:rsidRDefault="003F4930" w:rsidP="001664A7">
      <w:pPr>
        <w:spacing w:after="0" w:line="240" w:lineRule="auto"/>
        <w:rPr>
          <w:rFonts w:cstheme="minorHAnsi"/>
          <w:sz w:val="24"/>
          <w:szCs w:val="24"/>
        </w:rPr>
      </w:pPr>
    </w:p>
    <w:p w:rsidR="00FD451B" w:rsidRDefault="003F4930" w:rsidP="00FC5FF0">
      <w:pPr>
        <w:spacing w:after="0" w:line="240" w:lineRule="auto"/>
        <w:rPr>
          <w:rFonts w:cstheme="minorHAnsi"/>
          <w:sz w:val="24"/>
          <w:szCs w:val="24"/>
        </w:rPr>
      </w:pPr>
      <w:r w:rsidRPr="003F4930">
        <w:rPr>
          <w:rFonts w:cstheme="minorHAnsi"/>
          <w:b/>
          <w:sz w:val="24"/>
          <w:szCs w:val="24"/>
        </w:rPr>
        <w:t xml:space="preserve">The deadline for applications is </w:t>
      </w:r>
      <w:r w:rsidR="00781365">
        <w:rPr>
          <w:rFonts w:cstheme="minorHAnsi"/>
          <w:b/>
          <w:sz w:val="24"/>
          <w:szCs w:val="24"/>
        </w:rPr>
        <w:t xml:space="preserve">Friday </w:t>
      </w:r>
      <w:proofErr w:type="gramStart"/>
      <w:r w:rsidR="00781365">
        <w:rPr>
          <w:rFonts w:cstheme="minorHAnsi"/>
          <w:b/>
          <w:sz w:val="24"/>
          <w:szCs w:val="24"/>
        </w:rPr>
        <w:t>1</w:t>
      </w:r>
      <w:r w:rsidR="00281870">
        <w:rPr>
          <w:rFonts w:cstheme="minorHAnsi"/>
          <w:b/>
          <w:sz w:val="24"/>
          <w:szCs w:val="24"/>
        </w:rPr>
        <w:t>7</w:t>
      </w:r>
      <w:r w:rsidR="00FD451B" w:rsidRPr="003F4930">
        <w:rPr>
          <w:rFonts w:cstheme="minorHAnsi"/>
          <w:b/>
          <w:sz w:val="24"/>
          <w:szCs w:val="24"/>
          <w:vertAlign w:val="superscript"/>
        </w:rPr>
        <w:t>th</w:t>
      </w:r>
      <w:proofErr w:type="gramEnd"/>
      <w:r w:rsidR="00FD451B" w:rsidRPr="003F4930">
        <w:rPr>
          <w:rFonts w:cstheme="minorHAnsi"/>
          <w:b/>
          <w:sz w:val="24"/>
          <w:szCs w:val="24"/>
        </w:rPr>
        <w:t xml:space="preserve"> </w:t>
      </w:r>
      <w:r w:rsidR="00781365">
        <w:rPr>
          <w:rFonts w:cstheme="minorHAnsi"/>
          <w:b/>
          <w:sz w:val="24"/>
          <w:szCs w:val="24"/>
        </w:rPr>
        <w:t>January 2020</w:t>
      </w:r>
      <w:r w:rsidR="00FD451B" w:rsidRPr="003F4930">
        <w:rPr>
          <w:rFonts w:cstheme="minorHAnsi"/>
          <w:b/>
          <w:sz w:val="24"/>
          <w:szCs w:val="24"/>
        </w:rPr>
        <w:t xml:space="preserve">. </w:t>
      </w:r>
      <w:r w:rsidR="00FD451B" w:rsidRPr="00FD451B">
        <w:rPr>
          <w:rFonts w:cstheme="minorHAnsi"/>
          <w:sz w:val="24"/>
          <w:szCs w:val="24"/>
        </w:rPr>
        <w:t xml:space="preserve"> </w:t>
      </w:r>
      <w:r w:rsidR="00FD451B" w:rsidRPr="00FD451B">
        <w:rPr>
          <w:rFonts w:cstheme="minorHAnsi"/>
          <w:color w:val="44546A" w:themeColor="text2"/>
          <w:sz w:val="24"/>
          <w:szCs w:val="24"/>
        </w:rPr>
        <w:t>P</w:t>
      </w:r>
      <w:r w:rsidR="00FD451B" w:rsidRPr="00FD451B">
        <w:rPr>
          <w:rFonts w:cstheme="minorHAnsi"/>
          <w:sz w:val="24"/>
          <w:szCs w:val="24"/>
        </w:rPr>
        <w:t>lease re</w:t>
      </w:r>
      <w:bookmarkStart w:id="0" w:name="_GoBack"/>
      <w:bookmarkEnd w:id="0"/>
      <w:r w:rsidR="00FD451B" w:rsidRPr="00FD451B">
        <w:rPr>
          <w:rFonts w:cstheme="minorHAnsi"/>
          <w:sz w:val="24"/>
          <w:szCs w:val="24"/>
        </w:rPr>
        <w:t xml:space="preserve">turn this form to </w:t>
      </w:r>
      <w:hyperlink r:id="rId7" w:history="1">
        <w:r w:rsidR="00FC5FF0" w:rsidRPr="00DA0368">
          <w:rPr>
            <w:rStyle w:val="Hyperlink"/>
            <w:rFonts w:cstheme="minorHAnsi"/>
            <w:sz w:val="24"/>
            <w:szCs w:val="24"/>
          </w:rPr>
          <w:t>equalityanddiversity@exeter.ac.uk</w:t>
        </w:r>
      </w:hyperlink>
      <w:r w:rsidR="00FC5FF0">
        <w:rPr>
          <w:rFonts w:cstheme="minorHAnsi"/>
          <w:sz w:val="24"/>
          <w:szCs w:val="24"/>
        </w:rPr>
        <w:t xml:space="preserve">.  </w:t>
      </w:r>
    </w:p>
    <w:p w:rsidR="00FC5FF0" w:rsidRDefault="00FC5FF0" w:rsidP="00FC5FF0">
      <w:pPr>
        <w:spacing w:after="0" w:line="240" w:lineRule="auto"/>
        <w:rPr>
          <w:rFonts w:cstheme="minorHAnsi"/>
          <w:sz w:val="24"/>
          <w:szCs w:val="24"/>
        </w:rPr>
      </w:pPr>
    </w:p>
    <w:p w:rsidR="00FC5FF0" w:rsidRDefault="00FC5FF0" w:rsidP="00FC5FF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there is a small cost to your college/service </w:t>
      </w:r>
      <w:r w:rsidR="003F4930">
        <w:rPr>
          <w:rFonts w:cstheme="minorHAnsi"/>
          <w:sz w:val="24"/>
          <w:szCs w:val="24"/>
        </w:rPr>
        <w:t xml:space="preserve">(£500) </w:t>
      </w:r>
      <w:r>
        <w:rPr>
          <w:rFonts w:cstheme="minorHAnsi"/>
          <w:sz w:val="24"/>
          <w:szCs w:val="24"/>
        </w:rPr>
        <w:t xml:space="preserve">to participate in the </w:t>
      </w:r>
      <w:proofErr w:type="spellStart"/>
      <w:r>
        <w:rPr>
          <w:rFonts w:cstheme="minorHAnsi"/>
          <w:sz w:val="24"/>
          <w:szCs w:val="24"/>
        </w:rPr>
        <w:t>programme</w:t>
      </w:r>
      <w:proofErr w:type="spellEnd"/>
      <w:r>
        <w:rPr>
          <w:rFonts w:cstheme="minorHAnsi"/>
          <w:sz w:val="24"/>
          <w:szCs w:val="24"/>
        </w:rPr>
        <w:t xml:space="preserve"> and a time commitment to attending training and conducting a project</w:t>
      </w:r>
      <w:r w:rsidR="000A0AB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0A0ABD">
        <w:rPr>
          <w:rFonts w:cstheme="minorHAnsi"/>
          <w:sz w:val="24"/>
          <w:szCs w:val="24"/>
        </w:rPr>
        <w:t xml:space="preserve">we will notify </w:t>
      </w:r>
      <w:r>
        <w:rPr>
          <w:rFonts w:cstheme="minorHAnsi"/>
          <w:sz w:val="24"/>
          <w:szCs w:val="24"/>
        </w:rPr>
        <w:t xml:space="preserve">your college/department or Service Director </w:t>
      </w:r>
      <w:r w:rsidR="000A0ABD">
        <w:rPr>
          <w:rFonts w:cstheme="minorHAnsi"/>
          <w:sz w:val="24"/>
          <w:szCs w:val="24"/>
        </w:rPr>
        <w:t xml:space="preserve">that you have applied to the </w:t>
      </w:r>
      <w:proofErr w:type="spellStart"/>
      <w:r w:rsidR="000A0ABD">
        <w:rPr>
          <w:rFonts w:cstheme="minorHAnsi"/>
          <w:sz w:val="24"/>
          <w:szCs w:val="24"/>
        </w:rPr>
        <w:t>programme</w:t>
      </w:r>
      <w:proofErr w:type="spellEnd"/>
      <w:r>
        <w:rPr>
          <w:rFonts w:cstheme="minorHAnsi"/>
          <w:sz w:val="24"/>
          <w:szCs w:val="24"/>
        </w:rPr>
        <w:t>.</w:t>
      </w:r>
      <w:r w:rsidR="000A0ABD">
        <w:rPr>
          <w:rFonts w:cstheme="minorHAnsi"/>
          <w:sz w:val="24"/>
          <w:szCs w:val="24"/>
        </w:rPr>
        <w:t xml:space="preserve"> </w:t>
      </w:r>
    </w:p>
    <w:p w:rsidR="000A0ABD" w:rsidRDefault="000A0ABD" w:rsidP="00FC5FF0">
      <w:pPr>
        <w:spacing w:after="0" w:line="240" w:lineRule="auto"/>
        <w:rPr>
          <w:rFonts w:cstheme="minorHAnsi"/>
          <w:sz w:val="24"/>
          <w:szCs w:val="24"/>
        </w:rPr>
      </w:pPr>
    </w:p>
    <w:p w:rsidR="00FC5FF0" w:rsidRDefault="00FC5FF0" w:rsidP="00FC5FF0">
      <w:pPr>
        <w:spacing w:after="0" w:line="240" w:lineRule="auto"/>
        <w:rPr>
          <w:rFonts w:cstheme="minorHAnsi"/>
          <w:sz w:val="24"/>
          <w:szCs w:val="24"/>
        </w:rPr>
      </w:pPr>
    </w:p>
    <w:p w:rsidR="00FC5FF0" w:rsidRPr="00FC5FF0" w:rsidRDefault="00FC5FF0" w:rsidP="00FC5FF0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lastRenderedPageBreak/>
        <w:t>Candidate selection</w:t>
      </w:r>
    </w:p>
    <w:p w:rsidR="00FC5FF0" w:rsidRDefault="00FC5FF0" w:rsidP="00FC5FF0">
      <w:pPr>
        <w:spacing w:after="0" w:line="240" w:lineRule="auto"/>
        <w:rPr>
          <w:rFonts w:cstheme="minorHAnsi"/>
          <w:sz w:val="24"/>
          <w:szCs w:val="24"/>
        </w:rPr>
      </w:pPr>
    </w:p>
    <w:p w:rsidR="00FC5FF0" w:rsidRDefault="00FC5FF0" w:rsidP="00FC5FF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Candidates will be selected, based on the application form, by the project Steering Group </w:t>
      </w:r>
      <w:proofErr w:type="gramStart"/>
      <w:r>
        <w:rPr>
          <w:rFonts w:cstheme="minorHAnsi"/>
          <w:sz w:val="24"/>
          <w:szCs w:val="24"/>
        </w:rPr>
        <w:t>which</w:t>
      </w:r>
      <w:proofErr w:type="gramEnd"/>
      <w:r w:rsidR="000A0ABD">
        <w:rPr>
          <w:rFonts w:cstheme="minorHAnsi"/>
          <w:sz w:val="24"/>
          <w:szCs w:val="24"/>
        </w:rPr>
        <w:t xml:space="preserve"> is c</w:t>
      </w:r>
      <w:r>
        <w:rPr>
          <w:rFonts w:cstheme="minorHAnsi"/>
          <w:sz w:val="24"/>
          <w:szCs w:val="24"/>
        </w:rPr>
        <w:t>haired by the Provost.</w:t>
      </w:r>
      <w:r w:rsidR="003F4930">
        <w:rPr>
          <w:rFonts w:cstheme="minorHAnsi"/>
          <w:sz w:val="24"/>
          <w:szCs w:val="24"/>
        </w:rPr>
        <w:t xml:space="preserve"> Where possible the Steering Group will look to ensure representation from different areas of the institution.</w:t>
      </w:r>
    </w:p>
    <w:p w:rsidR="00FC5FF0" w:rsidRDefault="00FC5FF0" w:rsidP="00FC5FF0">
      <w:pPr>
        <w:spacing w:after="0" w:line="240" w:lineRule="auto"/>
        <w:rPr>
          <w:rFonts w:cstheme="minorHAnsi"/>
          <w:sz w:val="24"/>
          <w:szCs w:val="24"/>
        </w:rPr>
      </w:pPr>
    </w:p>
    <w:p w:rsidR="00FC5FF0" w:rsidRPr="00FD451B" w:rsidRDefault="00FC5FF0" w:rsidP="00FC5FF0">
      <w:pPr>
        <w:spacing w:after="0" w:line="240" w:lineRule="auto"/>
        <w:rPr>
          <w:rFonts w:cstheme="minorHAnsi"/>
          <w:sz w:val="24"/>
          <w:szCs w:val="24"/>
        </w:rPr>
      </w:pPr>
      <w:r w:rsidRPr="00FD451B">
        <w:rPr>
          <w:rFonts w:cstheme="minorHAnsi"/>
          <w:sz w:val="24"/>
          <w:szCs w:val="24"/>
        </w:rPr>
        <w:t>Our ideal candidates are those who:</w:t>
      </w:r>
    </w:p>
    <w:p w:rsidR="00FC5FF0" w:rsidRPr="00FD451B" w:rsidRDefault="00FC5FF0" w:rsidP="00FC5FF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D451B">
        <w:rPr>
          <w:rFonts w:cstheme="minorHAnsi"/>
          <w:sz w:val="24"/>
          <w:szCs w:val="24"/>
        </w:rPr>
        <w:t>Can describe the challenges and opportunities faced in advancing the principles and practices of equality, diversity, and inclusion in higher education</w:t>
      </w:r>
      <w:r>
        <w:rPr>
          <w:rFonts w:cstheme="minorHAnsi"/>
          <w:sz w:val="24"/>
          <w:szCs w:val="24"/>
        </w:rPr>
        <w:t xml:space="preserve"> either at a local or a strategic level</w:t>
      </w:r>
      <w:r w:rsidRPr="00FD451B">
        <w:rPr>
          <w:rFonts w:cstheme="minorHAnsi"/>
          <w:sz w:val="24"/>
          <w:szCs w:val="24"/>
        </w:rPr>
        <w:t>;</w:t>
      </w:r>
    </w:p>
    <w:p w:rsidR="00FC5FF0" w:rsidRPr="00FD451B" w:rsidRDefault="000A0ABD" w:rsidP="00FC5FF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 i</w:t>
      </w:r>
      <w:r w:rsidR="00FC5FF0" w:rsidRPr="00FD451B">
        <w:rPr>
          <w:rFonts w:cstheme="minorHAnsi"/>
          <w:sz w:val="24"/>
          <w:szCs w:val="24"/>
        </w:rPr>
        <w:t xml:space="preserve">nterested in acquiring knowledge about the role of cultural competence in achieving equality, diversity, and inclusion within the contexts of their respective roles and responsibilities at Exeter University; and   </w:t>
      </w:r>
    </w:p>
    <w:p w:rsidR="00FC5FF0" w:rsidRDefault="00FC5FF0" w:rsidP="00FC5FF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D451B">
        <w:rPr>
          <w:rFonts w:cstheme="minorHAnsi"/>
          <w:sz w:val="24"/>
          <w:szCs w:val="24"/>
        </w:rPr>
        <w:t>Are committed to being an “agent of change” to foster an academic and campus environment that exemplifies the principles of equality, diversity, and inclusion;</w:t>
      </w:r>
    </w:p>
    <w:p w:rsidR="00FC5FF0" w:rsidRDefault="00FC5FF0" w:rsidP="00FC5FF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Are able to generate an impact at a local or strategic level through the application of cultural competence. </w:t>
      </w:r>
    </w:p>
    <w:p w:rsidR="00FC5FF0" w:rsidRDefault="00FC5FF0" w:rsidP="00FC5FF0">
      <w:pPr>
        <w:spacing w:after="0" w:line="240" w:lineRule="auto"/>
        <w:rPr>
          <w:rFonts w:cstheme="minorHAnsi"/>
          <w:sz w:val="24"/>
          <w:szCs w:val="24"/>
        </w:rPr>
      </w:pPr>
    </w:p>
    <w:p w:rsidR="00FC5FF0" w:rsidRPr="00FC5FF0" w:rsidRDefault="00FC5FF0" w:rsidP="00FC5FF0">
      <w:pPr>
        <w:spacing w:after="0" w:line="240" w:lineRule="auto"/>
        <w:rPr>
          <w:rFonts w:cstheme="minorHAnsi"/>
          <w:sz w:val="24"/>
          <w:szCs w:val="24"/>
        </w:rPr>
      </w:pPr>
      <w:r w:rsidRPr="00FC5FF0">
        <w:rPr>
          <w:rFonts w:cstheme="minorHAnsi"/>
          <w:sz w:val="24"/>
          <w:szCs w:val="24"/>
        </w:rPr>
        <w:t xml:space="preserve">  </w:t>
      </w:r>
    </w:p>
    <w:p w:rsidR="00FC5FF0" w:rsidRPr="00FC5FF0" w:rsidRDefault="00FC5FF0" w:rsidP="00FC5FF0">
      <w:pPr>
        <w:spacing w:after="0" w:line="240" w:lineRule="auto"/>
        <w:rPr>
          <w:rFonts w:cstheme="minorHAnsi"/>
          <w:sz w:val="24"/>
          <w:szCs w:val="24"/>
        </w:rPr>
      </w:pPr>
    </w:p>
    <w:p w:rsidR="00FC5FF0" w:rsidRDefault="00FC5FF0" w:rsidP="00FC5FF0">
      <w:pPr>
        <w:spacing w:after="0" w:line="240" w:lineRule="auto"/>
        <w:rPr>
          <w:rStyle w:val="Hyperlink"/>
          <w:rFonts w:cstheme="minorHAnsi"/>
          <w:sz w:val="24"/>
          <w:szCs w:val="24"/>
        </w:rPr>
      </w:pPr>
    </w:p>
    <w:p w:rsidR="00277F8F" w:rsidRDefault="00277F8F">
      <w:pPr>
        <w:rPr>
          <w:rStyle w:val="Hyperlink"/>
          <w:rFonts w:cstheme="minorHAnsi"/>
          <w:sz w:val="24"/>
          <w:szCs w:val="24"/>
        </w:rPr>
      </w:pPr>
      <w:r>
        <w:rPr>
          <w:rStyle w:val="Hyperlink"/>
          <w:rFonts w:cstheme="minorHAnsi"/>
          <w:sz w:val="24"/>
          <w:szCs w:val="24"/>
        </w:rPr>
        <w:br w:type="page"/>
      </w:r>
    </w:p>
    <w:p w:rsidR="00277F8F" w:rsidRPr="00277F8F" w:rsidRDefault="00171E9C" w:rsidP="00FD451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Application</w:t>
      </w:r>
      <w:r w:rsidR="00277F8F" w:rsidRPr="00277F8F">
        <w:rPr>
          <w:rFonts w:cstheme="minorHAnsi"/>
          <w:b/>
          <w:sz w:val="24"/>
          <w:szCs w:val="24"/>
        </w:rPr>
        <w:t xml:space="preserve"> Form </w:t>
      </w:r>
    </w:p>
    <w:p w:rsidR="00FD451B" w:rsidRDefault="00FD451B" w:rsidP="001664A7">
      <w:pPr>
        <w:spacing w:after="0" w:line="240" w:lineRule="auto"/>
        <w:rPr>
          <w:rFonts w:cstheme="minorHAnsi"/>
          <w:sz w:val="24"/>
          <w:szCs w:val="24"/>
        </w:rPr>
      </w:pPr>
    </w:p>
    <w:p w:rsidR="00277F8F" w:rsidRDefault="00277F8F" w:rsidP="001664A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About you</w:t>
      </w:r>
    </w:p>
    <w:p w:rsidR="00277F8F" w:rsidRPr="00FD451B" w:rsidRDefault="00277F8F" w:rsidP="001664A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08"/>
        <w:gridCol w:w="7410"/>
      </w:tblGrid>
      <w:tr w:rsidR="00FD451B" w:rsidRPr="00FD451B" w:rsidTr="00334F76">
        <w:trPr>
          <w:trHeight w:val="369"/>
        </w:trPr>
        <w:tc>
          <w:tcPr>
            <w:tcW w:w="2508" w:type="dxa"/>
          </w:tcPr>
          <w:p w:rsidR="00FD451B" w:rsidRPr="00277F8F" w:rsidRDefault="00FD451B" w:rsidP="00334F76">
            <w:pPr>
              <w:rPr>
                <w:rFonts w:cstheme="minorHAnsi"/>
                <w:sz w:val="24"/>
                <w:szCs w:val="24"/>
              </w:rPr>
            </w:pPr>
            <w:r w:rsidRPr="00277F8F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7410" w:type="dxa"/>
          </w:tcPr>
          <w:p w:rsidR="00FD451B" w:rsidRPr="00FD451B" w:rsidRDefault="00FD451B" w:rsidP="00334F7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451B" w:rsidRPr="00FD451B" w:rsidTr="00334F76">
        <w:trPr>
          <w:trHeight w:val="416"/>
        </w:trPr>
        <w:tc>
          <w:tcPr>
            <w:tcW w:w="2508" w:type="dxa"/>
          </w:tcPr>
          <w:p w:rsidR="00FD451B" w:rsidRPr="00277F8F" w:rsidRDefault="00FD451B" w:rsidP="00334F76">
            <w:pPr>
              <w:rPr>
                <w:rFonts w:cstheme="minorHAnsi"/>
                <w:sz w:val="24"/>
                <w:szCs w:val="24"/>
              </w:rPr>
            </w:pPr>
            <w:r w:rsidRPr="00277F8F">
              <w:rPr>
                <w:rFonts w:cstheme="minorHAnsi"/>
                <w:sz w:val="24"/>
                <w:szCs w:val="24"/>
              </w:rPr>
              <w:t>Staff Number</w:t>
            </w:r>
          </w:p>
        </w:tc>
        <w:tc>
          <w:tcPr>
            <w:tcW w:w="7410" w:type="dxa"/>
          </w:tcPr>
          <w:p w:rsidR="00FD451B" w:rsidRPr="00FD451B" w:rsidRDefault="00FD451B" w:rsidP="00334F7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451B" w:rsidRPr="00FD451B" w:rsidTr="00334F76">
        <w:trPr>
          <w:trHeight w:val="409"/>
        </w:trPr>
        <w:tc>
          <w:tcPr>
            <w:tcW w:w="2508" w:type="dxa"/>
          </w:tcPr>
          <w:p w:rsidR="00FD451B" w:rsidRPr="00277F8F" w:rsidRDefault="00FD451B" w:rsidP="00334F76">
            <w:pPr>
              <w:rPr>
                <w:rFonts w:cstheme="minorHAnsi"/>
                <w:sz w:val="24"/>
                <w:szCs w:val="24"/>
              </w:rPr>
            </w:pPr>
            <w:r w:rsidRPr="00277F8F"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7410" w:type="dxa"/>
          </w:tcPr>
          <w:p w:rsidR="00FD451B" w:rsidRPr="00FD451B" w:rsidRDefault="00FD451B" w:rsidP="00334F7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451B" w:rsidRPr="00FD451B" w:rsidTr="00334F76">
        <w:trPr>
          <w:trHeight w:val="537"/>
        </w:trPr>
        <w:tc>
          <w:tcPr>
            <w:tcW w:w="2508" w:type="dxa"/>
          </w:tcPr>
          <w:p w:rsidR="00FD451B" w:rsidRPr="00277F8F" w:rsidRDefault="00FD451B" w:rsidP="00334F76">
            <w:pPr>
              <w:rPr>
                <w:rFonts w:cstheme="minorHAnsi"/>
                <w:sz w:val="24"/>
                <w:szCs w:val="24"/>
              </w:rPr>
            </w:pPr>
            <w:r w:rsidRPr="00277F8F">
              <w:rPr>
                <w:rFonts w:cstheme="minorHAnsi"/>
                <w:sz w:val="24"/>
                <w:szCs w:val="24"/>
              </w:rPr>
              <w:t>College /</w:t>
            </w:r>
          </w:p>
          <w:p w:rsidR="00FD451B" w:rsidRPr="00277F8F" w:rsidRDefault="00FD451B" w:rsidP="00334F76">
            <w:pPr>
              <w:rPr>
                <w:rFonts w:cstheme="minorHAnsi"/>
                <w:sz w:val="24"/>
                <w:szCs w:val="24"/>
              </w:rPr>
            </w:pPr>
            <w:r w:rsidRPr="00277F8F">
              <w:rPr>
                <w:rFonts w:cstheme="minorHAnsi"/>
                <w:sz w:val="24"/>
                <w:szCs w:val="24"/>
              </w:rPr>
              <w:t>Professional Service</w:t>
            </w:r>
          </w:p>
        </w:tc>
        <w:tc>
          <w:tcPr>
            <w:tcW w:w="7410" w:type="dxa"/>
          </w:tcPr>
          <w:p w:rsidR="00FD451B" w:rsidRPr="00FD451B" w:rsidRDefault="00FD451B" w:rsidP="00334F7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451B" w:rsidRPr="00FD451B" w:rsidTr="00334F76">
        <w:trPr>
          <w:trHeight w:val="437"/>
        </w:trPr>
        <w:tc>
          <w:tcPr>
            <w:tcW w:w="2508" w:type="dxa"/>
          </w:tcPr>
          <w:p w:rsidR="00FD451B" w:rsidRPr="00277F8F" w:rsidRDefault="00FD451B" w:rsidP="00334F76">
            <w:pPr>
              <w:rPr>
                <w:rFonts w:cstheme="minorHAnsi"/>
                <w:sz w:val="24"/>
                <w:szCs w:val="24"/>
              </w:rPr>
            </w:pPr>
            <w:r w:rsidRPr="00277F8F">
              <w:rPr>
                <w:rFonts w:cstheme="minorHAnsi"/>
                <w:sz w:val="24"/>
                <w:szCs w:val="24"/>
              </w:rPr>
              <w:t>Department</w:t>
            </w:r>
          </w:p>
        </w:tc>
        <w:tc>
          <w:tcPr>
            <w:tcW w:w="7410" w:type="dxa"/>
          </w:tcPr>
          <w:p w:rsidR="00FD451B" w:rsidRPr="00FD451B" w:rsidRDefault="00FD451B" w:rsidP="00334F7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451B" w:rsidRPr="00FD451B" w:rsidTr="00334F76">
        <w:trPr>
          <w:trHeight w:val="414"/>
        </w:trPr>
        <w:tc>
          <w:tcPr>
            <w:tcW w:w="2508" w:type="dxa"/>
          </w:tcPr>
          <w:p w:rsidR="00FD451B" w:rsidRPr="00277F8F" w:rsidRDefault="00FD451B" w:rsidP="00334F76">
            <w:pPr>
              <w:rPr>
                <w:rFonts w:cstheme="minorHAnsi"/>
                <w:sz w:val="24"/>
                <w:szCs w:val="24"/>
              </w:rPr>
            </w:pPr>
            <w:r w:rsidRPr="00277F8F">
              <w:rPr>
                <w:rFonts w:cstheme="minorHAnsi"/>
                <w:sz w:val="24"/>
                <w:szCs w:val="24"/>
              </w:rPr>
              <w:t>Job Title</w:t>
            </w:r>
          </w:p>
        </w:tc>
        <w:tc>
          <w:tcPr>
            <w:tcW w:w="7410" w:type="dxa"/>
          </w:tcPr>
          <w:p w:rsidR="00FD451B" w:rsidRPr="00FD451B" w:rsidRDefault="00FD451B" w:rsidP="00334F7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664A7" w:rsidRPr="00FD451B" w:rsidRDefault="001664A7" w:rsidP="001664A7">
      <w:pPr>
        <w:spacing w:after="0" w:line="240" w:lineRule="auto"/>
        <w:rPr>
          <w:rFonts w:cstheme="minorHAnsi"/>
          <w:sz w:val="24"/>
          <w:szCs w:val="24"/>
        </w:rPr>
      </w:pPr>
    </w:p>
    <w:p w:rsidR="00AF599F" w:rsidRPr="00FD451B" w:rsidRDefault="00AF599F" w:rsidP="00AF599F">
      <w:pPr>
        <w:spacing w:after="0" w:line="240" w:lineRule="auto"/>
        <w:rPr>
          <w:rFonts w:cstheme="minorHAnsi"/>
          <w:sz w:val="24"/>
          <w:szCs w:val="24"/>
        </w:rPr>
      </w:pPr>
    </w:p>
    <w:p w:rsidR="00AF599F" w:rsidRPr="00FD451B" w:rsidRDefault="00AF599F" w:rsidP="00AF599F">
      <w:pPr>
        <w:spacing w:after="0" w:line="240" w:lineRule="auto"/>
        <w:rPr>
          <w:rFonts w:cstheme="minorHAnsi"/>
          <w:sz w:val="24"/>
          <w:szCs w:val="24"/>
        </w:rPr>
      </w:pPr>
      <w:r w:rsidRPr="00FD451B">
        <w:rPr>
          <w:rFonts w:cstheme="minorHAnsi"/>
          <w:sz w:val="24"/>
          <w:szCs w:val="24"/>
        </w:rPr>
        <w:t>Please respond to the following</w:t>
      </w:r>
      <w:r w:rsidR="00FD451B" w:rsidRPr="00FD451B">
        <w:rPr>
          <w:rFonts w:cstheme="minorHAnsi"/>
          <w:sz w:val="24"/>
          <w:szCs w:val="24"/>
        </w:rPr>
        <w:t>:</w:t>
      </w:r>
    </w:p>
    <w:p w:rsidR="00AF599F" w:rsidRPr="00FD451B" w:rsidRDefault="00AF599F" w:rsidP="00AF599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101"/>
        <w:gridCol w:w="5817"/>
      </w:tblGrid>
      <w:tr w:rsidR="00FD451B" w:rsidRPr="00FD451B" w:rsidTr="00334F76">
        <w:trPr>
          <w:trHeight w:val="369"/>
        </w:trPr>
        <w:tc>
          <w:tcPr>
            <w:tcW w:w="2508" w:type="dxa"/>
          </w:tcPr>
          <w:p w:rsidR="00FD451B" w:rsidRPr="00FD451B" w:rsidRDefault="00FD451B" w:rsidP="00FD45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FD451B">
              <w:rPr>
                <w:rFonts w:cstheme="minorHAnsi"/>
                <w:sz w:val="24"/>
                <w:szCs w:val="24"/>
              </w:rPr>
              <w:t>Share with us your interest or motivation for participating in this Community of Practice.</w:t>
            </w:r>
          </w:p>
          <w:p w:rsidR="00FD451B" w:rsidRPr="00FD451B" w:rsidRDefault="00FD451B" w:rsidP="00334F7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410" w:type="dxa"/>
          </w:tcPr>
          <w:p w:rsidR="00FD451B" w:rsidRPr="00FD451B" w:rsidRDefault="00FD451B" w:rsidP="00334F7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451B" w:rsidRPr="00FD451B" w:rsidTr="00334F76">
        <w:trPr>
          <w:trHeight w:val="369"/>
        </w:trPr>
        <w:tc>
          <w:tcPr>
            <w:tcW w:w="2508" w:type="dxa"/>
          </w:tcPr>
          <w:p w:rsidR="00FD451B" w:rsidRPr="00FD451B" w:rsidRDefault="00FD451B" w:rsidP="00FD45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FD451B">
              <w:rPr>
                <w:rFonts w:cstheme="minorHAnsi"/>
                <w:sz w:val="24"/>
                <w:szCs w:val="24"/>
              </w:rPr>
              <w:t xml:space="preserve">List any activities in which you are currently involved that promote equality, diversity, and inclusion at Exeter or in other settings within the community in which you live. </w:t>
            </w:r>
          </w:p>
          <w:p w:rsidR="00FD451B" w:rsidRPr="00FD451B" w:rsidRDefault="00FD451B" w:rsidP="00FD451B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10" w:type="dxa"/>
          </w:tcPr>
          <w:p w:rsidR="00FD451B" w:rsidRPr="00FD451B" w:rsidRDefault="00FD451B" w:rsidP="00334F7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451B" w:rsidRPr="00FD451B" w:rsidTr="00334F76">
        <w:trPr>
          <w:trHeight w:val="369"/>
        </w:trPr>
        <w:tc>
          <w:tcPr>
            <w:tcW w:w="2508" w:type="dxa"/>
          </w:tcPr>
          <w:p w:rsidR="00FD451B" w:rsidRPr="00FD451B" w:rsidRDefault="00FD451B" w:rsidP="00FD45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FD451B">
              <w:rPr>
                <w:rFonts w:cstheme="minorHAnsi"/>
                <w:sz w:val="24"/>
                <w:szCs w:val="24"/>
              </w:rPr>
              <w:t xml:space="preserve">Describe any barriers or challenges that you have encountered at the University of Exeter related to equality, diversity, and inclusion.  </w:t>
            </w:r>
          </w:p>
          <w:p w:rsidR="00FD451B" w:rsidRPr="00FD451B" w:rsidRDefault="00FD451B" w:rsidP="00FD451B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10" w:type="dxa"/>
          </w:tcPr>
          <w:p w:rsidR="00FD451B" w:rsidRPr="00FD451B" w:rsidRDefault="00FD451B" w:rsidP="00334F7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451B" w:rsidRPr="00FD451B" w:rsidTr="00334F76">
        <w:trPr>
          <w:trHeight w:val="369"/>
        </w:trPr>
        <w:tc>
          <w:tcPr>
            <w:tcW w:w="2508" w:type="dxa"/>
          </w:tcPr>
          <w:p w:rsidR="00FD451B" w:rsidRPr="00FD451B" w:rsidRDefault="00FD451B" w:rsidP="00FD45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FD451B">
              <w:rPr>
                <w:rFonts w:cstheme="minorHAnsi"/>
                <w:sz w:val="24"/>
                <w:szCs w:val="24"/>
              </w:rPr>
              <w:t>What is your</w:t>
            </w:r>
            <w:r w:rsidR="00FC5FF0">
              <w:rPr>
                <w:rFonts w:cstheme="minorHAnsi"/>
                <w:sz w:val="24"/>
                <w:szCs w:val="24"/>
              </w:rPr>
              <w:t xml:space="preserve"> current</w:t>
            </w:r>
            <w:r w:rsidRPr="00FD451B">
              <w:rPr>
                <w:rFonts w:cstheme="minorHAnsi"/>
                <w:sz w:val="24"/>
                <w:szCs w:val="24"/>
              </w:rPr>
              <w:t xml:space="preserve"> understanding of cultural competence? What role do you see for cultural competence in higher education? </w:t>
            </w:r>
          </w:p>
          <w:p w:rsidR="00FD451B" w:rsidRPr="00FD451B" w:rsidRDefault="00FD451B" w:rsidP="00FD451B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10" w:type="dxa"/>
          </w:tcPr>
          <w:p w:rsidR="00FD451B" w:rsidRPr="00FD451B" w:rsidRDefault="00FD451B" w:rsidP="00334F7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451B" w:rsidRPr="00FD451B" w:rsidTr="00334F76">
        <w:trPr>
          <w:trHeight w:val="369"/>
        </w:trPr>
        <w:tc>
          <w:tcPr>
            <w:tcW w:w="2508" w:type="dxa"/>
          </w:tcPr>
          <w:p w:rsidR="00FD451B" w:rsidRPr="00FD451B" w:rsidRDefault="00FD451B" w:rsidP="00FD45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FD451B">
              <w:rPr>
                <w:rFonts w:cstheme="minorHAnsi"/>
                <w:sz w:val="24"/>
                <w:szCs w:val="24"/>
              </w:rPr>
              <w:t xml:space="preserve">Tell us about your current role and responsibilities at the University of Exeter. </w:t>
            </w:r>
          </w:p>
          <w:p w:rsidR="00FD451B" w:rsidRPr="00FD451B" w:rsidRDefault="00FD451B" w:rsidP="00FD451B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10" w:type="dxa"/>
          </w:tcPr>
          <w:p w:rsidR="00FD451B" w:rsidRPr="00FD451B" w:rsidRDefault="00FD451B" w:rsidP="00334F7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451B" w:rsidRPr="00FD451B" w:rsidTr="00334F76">
        <w:trPr>
          <w:trHeight w:val="369"/>
        </w:trPr>
        <w:tc>
          <w:tcPr>
            <w:tcW w:w="2508" w:type="dxa"/>
          </w:tcPr>
          <w:p w:rsidR="00FD451B" w:rsidRPr="00FD451B" w:rsidRDefault="00FD451B" w:rsidP="00FD45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FD451B">
              <w:rPr>
                <w:rFonts w:cstheme="minorHAnsi"/>
                <w:sz w:val="24"/>
                <w:szCs w:val="24"/>
              </w:rPr>
              <w:t xml:space="preserve">How do you anticipate that participating in the Community of Practice will benefit you?  </w:t>
            </w:r>
          </w:p>
          <w:p w:rsidR="00FD451B" w:rsidRPr="00FD451B" w:rsidRDefault="00FD451B" w:rsidP="00FD451B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10" w:type="dxa"/>
          </w:tcPr>
          <w:p w:rsidR="00FD451B" w:rsidRPr="00FD451B" w:rsidRDefault="00FD451B" w:rsidP="00334F7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451B" w:rsidRPr="00FD451B" w:rsidTr="00334F76">
        <w:trPr>
          <w:trHeight w:val="369"/>
        </w:trPr>
        <w:tc>
          <w:tcPr>
            <w:tcW w:w="2508" w:type="dxa"/>
          </w:tcPr>
          <w:p w:rsidR="00FD451B" w:rsidRPr="00FD451B" w:rsidRDefault="00FD451B" w:rsidP="00FD45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FD451B">
              <w:rPr>
                <w:rFonts w:cstheme="minorHAnsi"/>
                <w:sz w:val="24"/>
                <w:szCs w:val="24"/>
              </w:rPr>
              <w:lastRenderedPageBreak/>
              <w:t xml:space="preserve">How do you envision your college/department/office/program benefitting from your participation in the Community of Practice? </w:t>
            </w:r>
          </w:p>
          <w:p w:rsidR="00FD451B" w:rsidRPr="00FD451B" w:rsidRDefault="00FD451B" w:rsidP="00FD451B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10" w:type="dxa"/>
          </w:tcPr>
          <w:p w:rsidR="00FD451B" w:rsidRPr="00FD451B" w:rsidRDefault="00FD451B" w:rsidP="00334F7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D451B" w:rsidRPr="00FD451B" w:rsidRDefault="00FD451B" w:rsidP="00AF599F">
      <w:pPr>
        <w:spacing w:after="0" w:line="240" w:lineRule="auto"/>
        <w:rPr>
          <w:rFonts w:cstheme="minorHAnsi"/>
          <w:sz w:val="24"/>
          <w:szCs w:val="24"/>
        </w:rPr>
      </w:pPr>
    </w:p>
    <w:p w:rsidR="00AF599F" w:rsidRDefault="00AF599F" w:rsidP="00AF599F">
      <w:pPr>
        <w:spacing w:after="0" w:line="240" w:lineRule="auto"/>
        <w:rPr>
          <w:rFonts w:cstheme="minorHAnsi"/>
          <w:sz w:val="24"/>
          <w:szCs w:val="24"/>
        </w:rPr>
      </w:pPr>
    </w:p>
    <w:p w:rsidR="00D03EB7" w:rsidRPr="00D03EB7" w:rsidRDefault="00D03EB7" w:rsidP="00AF599F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Confirmation </w:t>
      </w:r>
    </w:p>
    <w:p w:rsidR="00D03EB7" w:rsidRDefault="00D03EB7" w:rsidP="00AF599F">
      <w:pPr>
        <w:spacing w:after="0" w:line="240" w:lineRule="auto"/>
        <w:rPr>
          <w:rFonts w:cstheme="minorHAnsi"/>
          <w:sz w:val="24"/>
          <w:szCs w:val="24"/>
        </w:rPr>
      </w:pPr>
    </w:p>
    <w:p w:rsidR="003F4930" w:rsidRDefault="003F4930" w:rsidP="00AF599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confirm that:</w:t>
      </w:r>
    </w:p>
    <w:p w:rsidR="003F4930" w:rsidRPr="005E4157" w:rsidRDefault="003F4930" w:rsidP="00AF599F">
      <w:pPr>
        <w:spacing w:after="0" w:line="240" w:lineRule="auto"/>
        <w:rPr>
          <w:rFonts w:cstheme="minorHAnsi"/>
          <w:sz w:val="24"/>
          <w:szCs w:val="24"/>
        </w:rPr>
      </w:pPr>
    </w:p>
    <w:p w:rsidR="003F4930" w:rsidRDefault="00281870" w:rsidP="00277F8F">
      <w:pPr>
        <w:spacing w:after="0"/>
        <w:jc w:val="both"/>
        <w:rPr>
          <w:rFonts w:cs="Arial"/>
          <w:sz w:val="20"/>
          <w:szCs w:val="20"/>
        </w:rPr>
      </w:pPr>
      <w:sdt>
        <w:sdtPr>
          <w:rPr>
            <w:rFonts w:cs="Arial"/>
          </w:rPr>
          <w:id w:val="-138393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F8F">
            <w:rPr>
              <w:rFonts w:ascii="MS Gothic" w:eastAsia="MS Gothic" w:hAnsi="MS Gothic" w:cs="Arial" w:hint="eastAsia"/>
            </w:rPr>
            <w:t>☐</w:t>
          </w:r>
        </w:sdtContent>
      </w:sdt>
      <w:r w:rsidR="00277F8F">
        <w:rPr>
          <w:rFonts w:cs="Arial"/>
        </w:rPr>
        <w:t xml:space="preserve"> </w:t>
      </w:r>
      <w:r w:rsidR="003F4930">
        <w:rPr>
          <w:rFonts w:cs="Arial"/>
          <w:sz w:val="20"/>
          <w:szCs w:val="20"/>
        </w:rPr>
        <w:t xml:space="preserve">I have understood the requirement of the </w:t>
      </w:r>
      <w:proofErr w:type="spellStart"/>
      <w:r w:rsidR="003F4930">
        <w:rPr>
          <w:rFonts w:cs="Arial"/>
          <w:sz w:val="20"/>
          <w:szCs w:val="20"/>
        </w:rPr>
        <w:t>programme</w:t>
      </w:r>
      <w:proofErr w:type="spellEnd"/>
      <w:r w:rsidR="003F4930">
        <w:rPr>
          <w:rFonts w:cs="Arial"/>
          <w:sz w:val="20"/>
          <w:szCs w:val="20"/>
        </w:rPr>
        <w:t xml:space="preserve"> including conducting a project in my area</w:t>
      </w:r>
    </w:p>
    <w:p w:rsidR="00277F8F" w:rsidRDefault="00277F8F" w:rsidP="00277F8F">
      <w:pPr>
        <w:spacing w:after="0"/>
        <w:jc w:val="both"/>
        <w:rPr>
          <w:rFonts w:cs="Arial"/>
        </w:rPr>
      </w:pPr>
    </w:p>
    <w:p w:rsidR="00351216" w:rsidRDefault="00351216" w:rsidP="003F493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non-residential </w:t>
      </w:r>
      <w:proofErr w:type="spellStart"/>
      <w:r>
        <w:rPr>
          <w:rFonts w:cstheme="minorHAnsi"/>
          <w:sz w:val="24"/>
          <w:szCs w:val="24"/>
        </w:rPr>
        <w:t>programme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is currently anticipated</w:t>
      </w:r>
      <w:proofErr w:type="gramEnd"/>
      <w:r>
        <w:rPr>
          <w:rFonts w:cstheme="minorHAnsi"/>
          <w:sz w:val="24"/>
          <w:szCs w:val="24"/>
        </w:rPr>
        <w:t xml:space="preserve"> to take place on 30 March to 3 April. Please indicate if you would be available for these dates</w:t>
      </w:r>
      <w:r w:rsidR="007D5AAE">
        <w:rPr>
          <w:rFonts w:cstheme="minorHAnsi"/>
          <w:sz w:val="24"/>
          <w:szCs w:val="24"/>
        </w:rPr>
        <w:t xml:space="preserve"> or otherwise</w:t>
      </w:r>
      <w:r>
        <w:rPr>
          <w:rFonts w:cstheme="minorHAnsi"/>
          <w:sz w:val="24"/>
          <w:szCs w:val="24"/>
        </w:rPr>
        <w:t xml:space="preserve">. </w:t>
      </w:r>
    </w:p>
    <w:p w:rsidR="00351216" w:rsidRDefault="00351216" w:rsidP="003F4930">
      <w:pPr>
        <w:spacing w:after="0" w:line="240" w:lineRule="auto"/>
        <w:rPr>
          <w:rFonts w:cstheme="minorHAnsi"/>
          <w:sz w:val="24"/>
          <w:szCs w:val="24"/>
        </w:rPr>
      </w:pPr>
    </w:p>
    <w:p w:rsidR="003F4930" w:rsidRDefault="003F4930" w:rsidP="003F493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there is a small cost to your college/service (£500) to participate in the </w:t>
      </w:r>
      <w:proofErr w:type="spellStart"/>
      <w:r>
        <w:rPr>
          <w:rFonts w:cstheme="minorHAnsi"/>
          <w:sz w:val="24"/>
          <w:szCs w:val="24"/>
        </w:rPr>
        <w:t>programme</w:t>
      </w:r>
      <w:proofErr w:type="spellEnd"/>
      <w:r>
        <w:rPr>
          <w:rFonts w:cstheme="minorHAnsi"/>
          <w:sz w:val="24"/>
          <w:szCs w:val="24"/>
        </w:rPr>
        <w:t xml:space="preserve"> and a time commitment to attending training and conducting a project</w:t>
      </w:r>
      <w:r w:rsidR="000A0ABD">
        <w:rPr>
          <w:rFonts w:cstheme="minorHAnsi"/>
          <w:sz w:val="24"/>
          <w:szCs w:val="24"/>
        </w:rPr>
        <w:t xml:space="preserve">, we will notify </w:t>
      </w:r>
      <w:r>
        <w:rPr>
          <w:rFonts w:cstheme="minorHAnsi"/>
          <w:sz w:val="24"/>
          <w:szCs w:val="24"/>
        </w:rPr>
        <w:t xml:space="preserve">your college/department or Service Director </w:t>
      </w:r>
      <w:r w:rsidR="000A0ABD">
        <w:rPr>
          <w:rFonts w:cstheme="minorHAnsi"/>
          <w:sz w:val="24"/>
          <w:szCs w:val="24"/>
        </w:rPr>
        <w:t xml:space="preserve">that you have applied to the </w:t>
      </w:r>
      <w:proofErr w:type="spellStart"/>
      <w:r w:rsidR="000A0ABD">
        <w:rPr>
          <w:rFonts w:cstheme="minorHAnsi"/>
          <w:sz w:val="24"/>
          <w:szCs w:val="24"/>
        </w:rPr>
        <w:t>programme</w:t>
      </w:r>
      <w:proofErr w:type="spellEnd"/>
      <w:r>
        <w:rPr>
          <w:rFonts w:cstheme="minorHAnsi"/>
          <w:sz w:val="24"/>
          <w:szCs w:val="24"/>
        </w:rPr>
        <w:t xml:space="preserve">.  </w:t>
      </w:r>
      <w:r w:rsidR="00D03EB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f you have</w:t>
      </w:r>
      <w:r w:rsidR="00D03EB7">
        <w:rPr>
          <w:rFonts w:cstheme="minorHAnsi"/>
          <w:sz w:val="24"/>
          <w:szCs w:val="24"/>
        </w:rPr>
        <w:t xml:space="preserve"> already</w:t>
      </w:r>
      <w:r>
        <w:rPr>
          <w:rFonts w:cstheme="minorHAnsi"/>
          <w:sz w:val="24"/>
          <w:szCs w:val="24"/>
        </w:rPr>
        <w:t xml:space="preserve"> discussed your application with your </w:t>
      </w:r>
      <w:proofErr w:type="gramStart"/>
      <w:r>
        <w:rPr>
          <w:rFonts w:cstheme="minorHAnsi"/>
          <w:sz w:val="24"/>
          <w:szCs w:val="24"/>
        </w:rPr>
        <w:t>College/Service Director</w:t>
      </w:r>
      <w:r w:rsidR="00D03EB7">
        <w:rPr>
          <w:rFonts w:cstheme="minorHAnsi"/>
          <w:sz w:val="24"/>
          <w:szCs w:val="24"/>
        </w:rPr>
        <w:t xml:space="preserve"> please indicate here</w:t>
      </w:r>
      <w:proofErr w:type="gramEnd"/>
      <w:r w:rsidR="00D03EB7">
        <w:rPr>
          <w:rFonts w:cstheme="minorHAnsi"/>
          <w:sz w:val="24"/>
          <w:szCs w:val="24"/>
        </w:rPr>
        <w:t xml:space="preserve"> (there is no requirement to do so):</w:t>
      </w:r>
    </w:p>
    <w:p w:rsidR="003F4930" w:rsidRDefault="003F4930" w:rsidP="00277F8F">
      <w:pPr>
        <w:spacing w:after="0"/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3EB7" w:rsidTr="00D03EB7">
        <w:tc>
          <w:tcPr>
            <w:tcW w:w="9350" w:type="dxa"/>
          </w:tcPr>
          <w:p w:rsidR="00D03EB7" w:rsidRDefault="00D03EB7" w:rsidP="00277F8F">
            <w:pPr>
              <w:jc w:val="both"/>
              <w:rPr>
                <w:rFonts w:cs="Arial"/>
              </w:rPr>
            </w:pPr>
          </w:p>
          <w:p w:rsidR="00D03EB7" w:rsidRDefault="00D03EB7" w:rsidP="00277F8F">
            <w:pPr>
              <w:jc w:val="both"/>
              <w:rPr>
                <w:rFonts w:cs="Arial"/>
              </w:rPr>
            </w:pPr>
          </w:p>
          <w:p w:rsidR="00D03EB7" w:rsidRDefault="00D03EB7" w:rsidP="00277F8F">
            <w:pPr>
              <w:jc w:val="both"/>
              <w:rPr>
                <w:rFonts w:cs="Arial"/>
              </w:rPr>
            </w:pPr>
          </w:p>
        </w:tc>
      </w:tr>
    </w:tbl>
    <w:p w:rsidR="00D03EB7" w:rsidRDefault="00D03EB7" w:rsidP="00277F8F">
      <w:pPr>
        <w:spacing w:after="0"/>
        <w:jc w:val="both"/>
        <w:rPr>
          <w:rFonts w:cs="Arial"/>
        </w:rPr>
      </w:pPr>
    </w:p>
    <w:p w:rsidR="00277F8F" w:rsidRDefault="00277F8F" w:rsidP="00277F8F">
      <w:pPr>
        <w:spacing w:after="0"/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4648"/>
        <w:gridCol w:w="2240"/>
      </w:tblGrid>
      <w:tr w:rsidR="00277F8F" w:rsidTr="00D03EB7">
        <w:tc>
          <w:tcPr>
            <w:tcW w:w="2462" w:type="dxa"/>
          </w:tcPr>
          <w:p w:rsidR="00277F8F" w:rsidRPr="00CA6A7A" w:rsidRDefault="00277F8F" w:rsidP="00334F7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Applicant</w:t>
            </w:r>
            <w:r w:rsidRPr="00CA6A7A">
              <w:rPr>
                <w:rFonts w:cs="Arial"/>
                <w:sz w:val="24"/>
                <w:szCs w:val="24"/>
              </w:rPr>
              <w:t xml:space="preserve"> signature</w:t>
            </w:r>
          </w:p>
        </w:tc>
        <w:tc>
          <w:tcPr>
            <w:tcW w:w="4648" w:type="dxa"/>
          </w:tcPr>
          <w:p w:rsidR="00277F8F" w:rsidRDefault="00277F8F" w:rsidP="00334F76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277F8F" w:rsidRPr="00CA6A7A" w:rsidRDefault="00277F8F" w:rsidP="00334F76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40" w:type="dxa"/>
          </w:tcPr>
          <w:p w:rsidR="00277F8F" w:rsidRPr="00CA6A7A" w:rsidRDefault="00277F8F" w:rsidP="00334F7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</w:tr>
    </w:tbl>
    <w:p w:rsidR="005E4157" w:rsidRPr="005E4157" w:rsidRDefault="005E4157" w:rsidP="001D2B89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5E4157" w:rsidRPr="005E4157" w:rsidRDefault="005E4157" w:rsidP="001D2B89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5E4157" w:rsidRPr="005E4157" w:rsidRDefault="005E4157" w:rsidP="001D2B89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  <w:r w:rsidRPr="005E4157"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 wp14:anchorId="5E9D43B7" wp14:editId="4FCD6B61">
                <wp:extent cx="302260" cy="302260"/>
                <wp:effectExtent l="0" t="0" r="0" b="0"/>
                <wp:docPr id="2" name="AutoShap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768726" id="AutoShape 2" o:spid="_x0000_s1026" alt="Logo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sectPr w:rsidR="005E4157" w:rsidRPr="005E4157" w:rsidSect="00FD451B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40C"/>
    <w:multiLevelType w:val="hybridMultilevel"/>
    <w:tmpl w:val="C3EEFD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86FD3"/>
    <w:multiLevelType w:val="hybridMultilevel"/>
    <w:tmpl w:val="8F1A4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0681"/>
    <w:multiLevelType w:val="hybridMultilevel"/>
    <w:tmpl w:val="4502E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40053"/>
    <w:multiLevelType w:val="hybridMultilevel"/>
    <w:tmpl w:val="3A3A2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37FE"/>
    <w:multiLevelType w:val="hybridMultilevel"/>
    <w:tmpl w:val="D3421A3A"/>
    <w:lvl w:ilvl="0" w:tplc="BDA4C31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9580B"/>
    <w:multiLevelType w:val="hybridMultilevel"/>
    <w:tmpl w:val="AFCCD84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8444F22"/>
    <w:multiLevelType w:val="hybridMultilevel"/>
    <w:tmpl w:val="442E03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4B35F3"/>
    <w:multiLevelType w:val="hybridMultilevel"/>
    <w:tmpl w:val="84785B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A7"/>
    <w:rsid w:val="00052136"/>
    <w:rsid w:val="000A0ABD"/>
    <w:rsid w:val="000D4001"/>
    <w:rsid w:val="00102203"/>
    <w:rsid w:val="0010400C"/>
    <w:rsid w:val="001664A7"/>
    <w:rsid w:val="00171E9C"/>
    <w:rsid w:val="001D2B89"/>
    <w:rsid w:val="00277F8F"/>
    <w:rsid w:val="00281870"/>
    <w:rsid w:val="002A51AD"/>
    <w:rsid w:val="002D3080"/>
    <w:rsid w:val="00351216"/>
    <w:rsid w:val="003F4930"/>
    <w:rsid w:val="004166F8"/>
    <w:rsid w:val="004314F0"/>
    <w:rsid w:val="005E4157"/>
    <w:rsid w:val="006F5911"/>
    <w:rsid w:val="00781365"/>
    <w:rsid w:val="007D5AAE"/>
    <w:rsid w:val="00AF599F"/>
    <w:rsid w:val="00BB5B42"/>
    <w:rsid w:val="00C91691"/>
    <w:rsid w:val="00CC7AD3"/>
    <w:rsid w:val="00D03EB7"/>
    <w:rsid w:val="00DE4705"/>
    <w:rsid w:val="00E36623"/>
    <w:rsid w:val="00EC71BD"/>
    <w:rsid w:val="00ED2061"/>
    <w:rsid w:val="00FC5FF0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7A05F"/>
  <w15:chartTrackingRefBased/>
  <w15:docId w15:val="{68FF636E-4733-4AED-9138-2FDE021F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7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51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D451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qualityanddiversity@exe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Tawara Denise Goode</dc:creator>
  <cp:keywords/>
  <dc:description/>
  <cp:lastModifiedBy>Winzer, Rachel</cp:lastModifiedBy>
  <cp:revision>9</cp:revision>
  <dcterms:created xsi:type="dcterms:W3CDTF">2019-11-08T07:11:00Z</dcterms:created>
  <dcterms:modified xsi:type="dcterms:W3CDTF">2020-01-06T13:52:00Z</dcterms:modified>
</cp:coreProperties>
</file>