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AA0" w:rsidRPr="00963D50" w:rsidRDefault="00C661E4" w:rsidP="001A6AA0">
      <w:pPr>
        <w:spacing w:after="0" w:line="240" w:lineRule="auto"/>
        <w:rPr>
          <w:b/>
          <w:sz w:val="24"/>
          <w:szCs w:val="24"/>
        </w:rPr>
      </w:pPr>
      <w:r w:rsidRPr="00963D50">
        <w:rPr>
          <w:noProof/>
          <w:lang w:eastAsia="en-GB"/>
        </w:rPr>
        <w:drawing>
          <wp:anchor distT="0" distB="0" distL="114300" distR="114300" simplePos="0" relativeHeight="251658240" behindDoc="1" locked="0" layoutInCell="1" allowOverlap="1">
            <wp:simplePos x="0" y="0"/>
            <wp:positionH relativeFrom="column">
              <wp:posOffset>4762500</wp:posOffset>
            </wp:positionH>
            <wp:positionV relativeFrom="paragraph">
              <wp:posOffset>0</wp:posOffset>
            </wp:positionV>
            <wp:extent cx="4072890" cy="2188845"/>
            <wp:effectExtent l="0" t="0" r="3810" b="1905"/>
            <wp:wrapSquare wrapText="bothSides"/>
            <wp:docPr id="1" name="Picture 1" descr="N:\Internal Communications\REF 2021\REF2021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nternal Communications\REF 2021\REF2021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72890" cy="2188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3D50" w:rsidRPr="00963D50">
        <w:rPr>
          <w:b/>
          <w:sz w:val="24"/>
          <w:szCs w:val="24"/>
        </w:rPr>
        <w:t xml:space="preserve">YOUR </w:t>
      </w:r>
      <w:r w:rsidR="001A6AA0" w:rsidRPr="00963D50">
        <w:rPr>
          <w:b/>
          <w:sz w:val="24"/>
          <w:szCs w:val="24"/>
        </w:rPr>
        <w:t>SIMPLE GUIDE TO REF</w:t>
      </w:r>
    </w:p>
    <w:p w:rsidR="001A6AA0" w:rsidRPr="00DA1E8C" w:rsidRDefault="001A6AA0" w:rsidP="001A6AA0">
      <w:pPr>
        <w:spacing w:after="0" w:line="240" w:lineRule="auto"/>
      </w:pPr>
    </w:p>
    <w:p w:rsidR="00754D30" w:rsidRPr="00DA1E8C" w:rsidRDefault="00657A5B" w:rsidP="00C661E4">
      <w:pPr>
        <w:spacing w:after="0" w:line="240" w:lineRule="auto"/>
      </w:pPr>
      <w:hyperlink w:anchor="_What_is_the" w:history="1">
        <w:r w:rsidR="00754D30" w:rsidRPr="00E87E90">
          <w:rPr>
            <w:rStyle w:val="Hyperlink"/>
          </w:rPr>
          <w:t>What is REF and why does it matter?</w:t>
        </w:r>
      </w:hyperlink>
    </w:p>
    <w:p w:rsidR="00754D30" w:rsidRDefault="00657A5B" w:rsidP="001A6AA0">
      <w:pPr>
        <w:spacing w:after="0" w:line="240" w:lineRule="auto"/>
      </w:pPr>
      <w:hyperlink w:anchor="_How_is_the" w:history="1">
        <w:r w:rsidR="001E770F" w:rsidRPr="00E87E90">
          <w:rPr>
            <w:rStyle w:val="Hyperlink"/>
          </w:rPr>
          <w:t>How is the REF carried out?</w:t>
        </w:r>
      </w:hyperlink>
    </w:p>
    <w:p w:rsidR="003A03CB" w:rsidRDefault="00657A5B" w:rsidP="001A6AA0">
      <w:pPr>
        <w:spacing w:after="0" w:line="240" w:lineRule="auto"/>
      </w:pPr>
      <w:hyperlink w:anchor="_How_are_REF" w:history="1">
        <w:r w:rsidR="003A03CB" w:rsidRPr="003A03CB">
          <w:rPr>
            <w:rStyle w:val="Hyperlink"/>
          </w:rPr>
          <w:t>How are REF submissions assessed?</w:t>
        </w:r>
      </w:hyperlink>
    </w:p>
    <w:p w:rsidR="00B06668" w:rsidRPr="00DA1E8C" w:rsidRDefault="00657A5B" w:rsidP="001A6AA0">
      <w:pPr>
        <w:spacing w:after="0" w:line="240" w:lineRule="auto"/>
      </w:pPr>
      <w:hyperlink w:anchor="_What_has_changed" w:history="1">
        <w:r w:rsidR="00B06668" w:rsidRPr="00B06668">
          <w:rPr>
            <w:rStyle w:val="Hyperlink"/>
          </w:rPr>
          <w:t>What has changed since REF 2014?</w:t>
        </w:r>
      </w:hyperlink>
    </w:p>
    <w:p w:rsidR="001E770F" w:rsidRPr="00DA1E8C" w:rsidRDefault="00657A5B" w:rsidP="001A6AA0">
      <w:pPr>
        <w:spacing w:after="0" w:line="240" w:lineRule="auto"/>
      </w:pPr>
      <w:hyperlink w:anchor="_I’m_a_decision-maker" w:history="1">
        <w:r w:rsidR="001E770F" w:rsidRPr="00E87E90">
          <w:rPr>
            <w:rStyle w:val="Hyperlink"/>
          </w:rPr>
          <w:t>I’m a decision-maker – what do I have to do?</w:t>
        </w:r>
      </w:hyperlink>
    </w:p>
    <w:p w:rsidR="001E770F" w:rsidRPr="00DA1E8C" w:rsidRDefault="00657A5B" w:rsidP="001A6AA0">
      <w:pPr>
        <w:spacing w:after="0" w:line="240" w:lineRule="auto"/>
      </w:pPr>
      <w:hyperlink w:anchor="_I’m_a_researcher" w:history="1">
        <w:r w:rsidR="001E770F" w:rsidRPr="00E87E90">
          <w:rPr>
            <w:rStyle w:val="Hyperlink"/>
          </w:rPr>
          <w:t>I’m a researcher – what do I have to do?</w:t>
        </w:r>
      </w:hyperlink>
    </w:p>
    <w:p w:rsidR="009C08F0" w:rsidRDefault="00657A5B" w:rsidP="001A6AA0">
      <w:pPr>
        <w:spacing w:after="0" w:line="240" w:lineRule="auto"/>
      </w:pPr>
      <w:hyperlink w:anchor="_REF_2021_Results" w:history="1">
        <w:r w:rsidR="009C08F0" w:rsidRPr="009C08F0">
          <w:rPr>
            <w:rStyle w:val="Hyperlink"/>
          </w:rPr>
          <w:t>REF 2021 Results</w:t>
        </w:r>
      </w:hyperlink>
      <w:r w:rsidR="009C08F0">
        <w:t xml:space="preserve"> </w:t>
      </w:r>
    </w:p>
    <w:p w:rsidR="001E770F" w:rsidRPr="00153B95" w:rsidRDefault="00657A5B" w:rsidP="001A6AA0">
      <w:pPr>
        <w:spacing w:after="0" w:line="240" w:lineRule="auto"/>
      </w:pPr>
      <w:hyperlink w:anchor="_REF_2021_Key" w:history="1">
        <w:r w:rsidR="00C661E4" w:rsidRPr="00153B95">
          <w:rPr>
            <w:rStyle w:val="Hyperlink"/>
          </w:rPr>
          <w:t xml:space="preserve">REF </w:t>
        </w:r>
        <w:r w:rsidR="001E770F" w:rsidRPr="00153B95">
          <w:rPr>
            <w:rStyle w:val="Hyperlink"/>
          </w:rPr>
          <w:t>Timeline</w:t>
        </w:r>
      </w:hyperlink>
    </w:p>
    <w:p w:rsidR="001E770F" w:rsidRPr="00DA1E8C" w:rsidRDefault="00657A5B" w:rsidP="001A6AA0">
      <w:pPr>
        <w:spacing w:after="0" w:line="240" w:lineRule="auto"/>
      </w:pPr>
      <w:hyperlink w:anchor="_More_information_and" w:history="1">
        <w:r w:rsidR="001E770F" w:rsidRPr="00E87E90">
          <w:rPr>
            <w:rStyle w:val="Hyperlink"/>
          </w:rPr>
          <w:t>More information and further contacts</w:t>
        </w:r>
      </w:hyperlink>
    </w:p>
    <w:p w:rsidR="001E770F" w:rsidRPr="00DA1E8C" w:rsidRDefault="001E770F" w:rsidP="00D04FFD">
      <w:pPr>
        <w:spacing w:before="120" w:after="0" w:line="240" w:lineRule="auto"/>
        <w:rPr>
          <w:rStyle w:val="Hyperlink"/>
          <w:u w:val="none"/>
        </w:rPr>
      </w:pPr>
    </w:p>
    <w:p w:rsidR="003119A1" w:rsidRPr="00DA1E8C" w:rsidRDefault="003119A1" w:rsidP="00E87E90">
      <w:pPr>
        <w:pStyle w:val="Heading3"/>
        <w:rPr>
          <w:b w:val="0"/>
        </w:rPr>
      </w:pPr>
      <w:bookmarkStart w:id="0" w:name="_What_is_the"/>
      <w:bookmarkEnd w:id="0"/>
      <w:r w:rsidRPr="00DA1E8C">
        <w:t>What is the REF and why does it matter?</w:t>
      </w:r>
    </w:p>
    <w:p w:rsidR="00DA1E8C" w:rsidRDefault="003119A1" w:rsidP="000658A4">
      <w:pPr>
        <w:spacing w:before="120" w:after="0" w:line="240" w:lineRule="auto"/>
      </w:pPr>
      <w:r w:rsidRPr="00DA1E8C">
        <w:t>The Research Excellence Framework (REF) is</w:t>
      </w:r>
      <w:r w:rsidR="00DA1E8C">
        <w:t xml:space="preserve"> a national assessment of the research taking place across UK universities.</w:t>
      </w:r>
      <w:r w:rsidR="00944AD8">
        <w:t xml:space="preserve"> REF takes place every six years.</w:t>
      </w:r>
    </w:p>
    <w:p w:rsidR="00DA1E8C" w:rsidRDefault="00DA1E8C" w:rsidP="001A6AA0">
      <w:pPr>
        <w:spacing w:after="0" w:line="240" w:lineRule="auto"/>
      </w:pPr>
    </w:p>
    <w:p w:rsidR="003119A1" w:rsidRPr="00DA1E8C" w:rsidRDefault="00DA1E8C" w:rsidP="001A6AA0">
      <w:pPr>
        <w:spacing w:after="0" w:line="240" w:lineRule="auto"/>
      </w:pPr>
      <w:r>
        <w:t xml:space="preserve">The framework is </w:t>
      </w:r>
      <w:r w:rsidR="003119A1" w:rsidRPr="00DA1E8C">
        <w:t>used by the four UK higher education funding bodies (Research England, the Scottish Funding Council, the Higher Education Funding Council for Wales, and the Department for the Economy, Northern Ireland) to assess the quality of research</w:t>
      </w:r>
      <w:r>
        <w:t xml:space="preserve"> and to inform the distribution of research funding - </w:t>
      </w:r>
      <w:r w:rsidR="003119A1" w:rsidRPr="00DA1E8C">
        <w:t xml:space="preserve"> </w:t>
      </w:r>
      <w:r>
        <w:t xml:space="preserve">around £2 billion per year, </w:t>
      </w:r>
      <w:r w:rsidRPr="00DA1E8C">
        <w:t>to UK universities</w:t>
      </w:r>
      <w:r>
        <w:t>.</w:t>
      </w:r>
      <w:r w:rsidR="00453DA4">
        <w:t xml:space="preserve"> This funding is known as Mainstream Quality-Related (QR) funding.</w:t>
      </w:r>
    </w:p>
    <w:p w:rsidR="001A6AA0" w:rsidRPr="00DA1E8C" w:rsidRDefault="001A6AA0" w:rsidP="001A6AA0">
      <w:pPr>
        <w:spacing w:after="0" w:line="240" w:lineRule="auto"/>
      </w:pPr>
    </w:p>
    <w:p w:rsidR="00053881" w:rsidRDefault="0026215B" w:rsidP="00053881">
      <w:pPr>
        <w:spacing w:after="0" w:line="240" w:lineRule="auto"/>
      </w:pPr>
      <w:r w:rsidRPr="00DA1E8C">
        <w:t>In</w:t>
      </w:r>
      <w:r w:rsidR="00DA1E8C">
        <w:t xml:space="preserve"> addition to funding allocation</w:t>
      </w:r>
      <w:r w:rsidRPr="00DA1E8C">
        <w:t xml:space="preserve">, the REF </w:t>
      </w:r>
      <w:r w:rsidR="00DA1E8C">
        <w:t xml:space="preserve">also </w:t>
      </w:r>
      <w:r w:rsidRPr="00DA1E8C">
        <w:t xml:space="preserve">provides accountability for public investment, so that the benefits of </w:t>
      </w:r>
      <w:r w:rsidR="00DA1E8C">
        <w:t>the</w:t>
      </w:r>
      <w:r w:rsidRPr="00DA1E8C">
        <w:t xml:space="preserve"> research</w:t>
      </w:r>
      <w:r w:rsidR="00DA1E8C">
        <w:t xml:space="preserve"> being undertaken</w:t>
      </w:r>
      <w:r w:rsidRPr="00DA1E8C">
        <w:t xml:space="preserve"> can be demonstrated</w:t>
      </w:r>
      <w:r w:rsidR="00053881">
        <w:t xml:space="preserve">, and is significant in benchmarking information that will affect </w:t>
      </w:r>
      <w:r w:rsidR="00053881" w:rsidRPr="00DA1E8C">
        <w:t>our</w:t>
      </w:r>
      <w:r w:rsidR="00053881">
        <w:t xml:space="preserve"> research</w:t>
      </w:r>
      <w:r w:rsidR="00053881" w:rsidRPr="00DA1E8C">
        <w:t xml:space="preserve"> reputation.</w:t>
      </w:r>
    </w:p>
    <w:p w:rsidR="00453DA4" w:rsidRDefault="00453DA4" w:rsidP="00053881">
      <w:pPr>
        <w:spacing w:after="0" w:line="240" w:lineRule="auto"/>
      </w:pPr>
    </w:p>
    <w:p w:rsidR="00453DA4" w:rsidRDefault="00453DA4" w:rsidP="00053881">
      <w:pPr>
        <w:spacing w:after="0" w:line="240" w:lineRule="auto"/>
      </w:pPr>
      <w:r>
        <w:t xml:space="preserve">Over 20% of </w:t>
      </w:r>
      <w:r w:rsidR="00153B95">
        <w:t>the University’s</w:t>
      </w:r>
      <w:r>
        <w:t xml:space="preserve"> </w:t>
      </w:r>
      <w:r w:rsidR="00153B95">
        <w:t>r</w:t>
      </w:r>
      <w:r>
        <w:t xml:space="preserve">esearch income is from QR funding. As a result of our performance in </w:t>
      </w:r>
      <w:r w:rsidR="00153B95">
        <w:t xml:space="preserve">REF </w:t>
      </w:r>
      <w:r>
        <w:t xml:space="preserve">2014, Exeter received 2.3% of the total REF </w:t>
      </w:r>
      <w:r w:rsidR="00153B95">
        <w:t>QR funding.</w:t>
      </w:r>
    </w:p>
    <w:p w:rsidR="00944AD8" w:rsidRDefault="00944AD8" w:rsidP="00053881">
      <w:pPr>
        <w:spacing w:after="0" w:line="240" w:lineRule="auto"/>
      </w:pPr>
    </w:p>
    <w:p w:rsidR="00944AD8" w:rsidRPr="00DA1E8C" w:rsidRDefault="00944AD8" w:rsidP="00944AD8">
      <w:pPr>
        <w:pStyle w:val="Heading3"/>
      </w:pPr>
      <w:r w:rsidRPr="00DA1E8C">
        <w:t>How is the REF carried out?</w:t>
      </w:r>
    </w:p>
    <w:p w:rsidR="00F265B5" w:rsidRPr="00DA1E8C" w:rsidRDefault="00F265B5" w:rsidP="00944AD8">
      <w:pPr>
        <w:spacing w:before="120" w:after="0" w:line="240" w:lineRule="auto"/>
      </w:pPr>
      <w:r w:rsidRPr="00DA1E8C">
        <w:t xml:space="preserve">The REF </w:t>
      </w:r>
      <w:r w:rsidR="00DA1E8C">
        <w:t xml:space="preserve">looks at </w:t>
      </w:r>
      <w:r w:rsidRPr="00DA1E8C">
        <w:t xml:space="preserve">three </w:t>
      </w:r>
      <w:r w:rsidR="00DA1E8C">
        <w:t>areas of assessment</w:t>
      </w:r>
      <w:r w:rsidRPr="00DA1E8C">
        <w:t>, which together reflect the key characteristics of research excellence:</w:t>
      </w:r>
    </w:p>
    <w:p w:rsidR="00DA1E8C" w:rsidRPr="00DA1E8C" w:rsidRDefault="00DA1E8C" w:rsidP="001A6AA0">
      <w:pPr>
        <w:spacing w:after="0" w:line="240" w:lineRule="auto"/>
        <w:rPr>
          <w:color w:val="FF0000"/>
        </w:rPr>
      </w:pPr>
    </w:p>
    <w:p w:rsidR="00F265B5" w:rsidRPr="00DA1E8C" w:rsidRDefault="00DA1E8C" w:rsidP="001A6AA0">
      <w:pPr>
        <w:pStyle w:val="ListParagraph"/>
        <w:numPr>
          <w:ilvl w:val="0"/>
          <w:numId w:val="7"/>
        </w:numPr>
        <w:spacing w:after="0" w:line="240" w:lineRule="auto"/>
      </w:pPr>
      <w:r>
        <w:t>Q</w:t>
      </w:r>
      <w:r w:rsidR="00F265B5" w:rsidRPr="00DA1E8C">
        <w:t>uality of research outputs (accounting for 60%  of the assessment)</w:t>
      </w:r>
    </w:p>
    <w:p w:rsidR="00F265B5" w:rsidRPr="00DA1E8C" w:rsidRDefault="00DA1E8C" w:rsidP="001A6AA0">
      <w:pPr>
        <w:pStyle w:val="ListParagraph"/>
        <w:numPr>
          <w:ilvl w:val="0"/>
          <w:numId w:val="7"/>
        </w:numPr>
        <w:spacing w:after="0" w:line="240" w:lineRule="auto"/>
      </w:pPr>
      <w:r>
        <w:t>I</w:t>
      </w:r>
      <w:r w:rsidR="00F265B5" w:rsidRPr="00DA1E8C">
        <w:t>mpact of research – its effect on</w:t>
      </w:r>
      <w:r>
        <w:t>, change, or benefit to</w:t>
      </w:r>
      <w:r w:rsidR="00F265B5" w:rsidRPr="00DA1E8C">
        <w:t xml:space="preserve"> the economy, society, policy, culture and quality of life (accounting for 25% of the assessment)</w:t>
      </w:r>
    </w:p>
    <w:p w:rsidR="00F265B5" w:rsidRPr="00DA1E8C" w:rsidRDefault="00DA1E8C" w:rsidP="001A6AA0">
      <w:pPr>
        <w:pStyle w:val="ListParagraph"/>
        <w:numPr>
          <w:ilvl w:val="0"/>
          <w:numId w:val="7"/>
        </w:numPr>
        <w:spacing w:after="0" w:line="240" w:lineRule="auto"/>
      </w:pPr>
      <w:r>
        <w:t>Research environment – an institution’s</w:t>
      </w:r>
      <w:r w:rsidR="00F265B5" w:rsidRPr="00DA1E8C">
        <w:t xml:space="preserve"> research strategy,</w:t>
      </w:r>
      <w:r>
        <w:t xml:space="preserve"> research</w:t>
      </w:r>
      <w:r w:rsidR="00F265B5" w:rsidRPr="00DA1E8C">
        <w:t xml:space="preserve"> </w:t>
      </w:r>
      <w:r w:rsidR="000658A4">
        <w:t>facilities, opportunities for collaboration</w:t>
      </w:r>
      <w:r w:rsidR="00F265B5" w:rsidRPr="00DA1E8C">
        <w:t xml:space="preserve"> and environment, including research income and research degrees awarded (accounting for 15% of the assessment)</w:t>
      </w:r>
    </w:p>
    <w:p w:rsidR="001A6AA0" w:rsidRDefault="001A6AA0" w:rsidP="001A6AA0">
      <w:pPr>
        <w:spacing w:after="0" w:line="240" w:lineRule="auto"/>
      </w:pPr>
    </w:p>
    <w:p w:rsidR="00D81F6B" w:rsidRPr="00944AD8" w:rsidRDefault="00053881" w:rsidP="00944AD8">
      <w:pPr>
        <w:spacing w:after="0" w:line="240" w:lineRule="auto"/>
      </w:pPr>
      <w:r>
        <w:t xml:space="preserve">Each University is required to make an institutional submission to REF which is broken down into </w:t>
      </w:r>
      <w:r w:rsidR="00944AD8" w:rsidRPr="00DA1E8C">
        <w:t xml:space="preserve">34 </w:t>
      </w:r>
      <w:r>
        <w:t xml:space="preserve">disciplinary units, known as </w:t>
      </w:r>
      <w:hyperlink r:id="rId7" w:history="1">
        <w:r w:rsidRPr="00944AD8">
          <w:rPr>
            <w:rStyle w:val="Hyperlink"/>
          </w:rPr>
          <w:t>Units of Assessment</w:t>
        </w:r>
      </w:hyperlink>
      <w:r>
        <w:t xml:space="preserve"> (</w:t>
      </w:r>
      <w:proofErr w:type="spellStart"/>
      <w:r>
        <w:t>UoAs</w:t>
      </w:r>
      <w:proofErr w:type="spellEnd"/>
      <w:r>
        <w:t>).</w:t>
      </w:r>
      <w:bookmarkStart w:id="1" w:name="_How_is_the"/>
      <w:bookmarkEnd w:id="1"/>
      <w:r w:rsidR="00944AD8">
        <w:t xml:space="preserve"> </w:t>
      </w:r>
      <w:r w:rsidR="00392842" w:rsidRPr="00944AD8">
        <w:t>The</w:t>
      </w:r>
      <w:r w:rsidR="00944AD8">
        <w:t>se</w:t>
      </w:r>
      <w:r w:rsidR="00392842" w:rsidRPr="00944AD8">
        <w:t xml:space="preserve"> submission</w:t>
      </w:r>
      <w:r w:rsidR="00944AD8" w:rsidRPr="00944AD8">
        <w:t xml:space="preserve">s are assessed by an expert panel of academics and industry experts in each </w:t>
      </w:r>
      <w:proofErr w:type="spellStart"/>
      <w:r w:rsidR="00944AD8" w:rsidRPr="00944AD8">
        <w:t>UoA</w:t>
      </w:r>
      <w:proofErr w:type="spellEnd"/>
      <w:r w:rsidR="00944AD8" w:rsidRPr="00944AD8">
        <w:t xml:space="preserve">. There are four </w:t>
      </w:r>
      <w:r w:rsidR="00D81F6B" w:rsidRPr="00944AD8">
        <w:t xml:space="preserve">main panels </w:t>
      </w:r>
      <w:r w:rsidR="00944AD8" w:rsidRPr="00944AD8">
        <w:t xml:space="preserve">to </w:t>
      </w:r>
      <w:r w:rsidR="00D81F6B" w:rsidRPr="00944AD8">
        <w:t>reflect the following subject areas:</w:t>
      </w:r>
    </w:p>
    <w:p w:rsidR="001A6AA0" w:rsidRPr="00944AD8" w:rsidRDefault="001A6AA0" w:rsidP="001A6AA0">
      <w:pPr>
        <w:spacing w:after="0" w:line="240" w:lineRule="auto"/>
      </w:pPr>
    </w:p>
    <w:p w:rsidR="00D81F6B" w:rsidRPr="00944AD8" w:rsidRDefault="00D81F6B" w:rsidP="001A6AA0">
      <w:pPr>
        <w:pStyle w:val="ListParagraph"/>
        <w:numPr>
          <w:ilvl w:val="0"/>
          <w:numId w:val="6"/>
        </w:numPr>
        <w:spacing w:after="0" w:line="240" w:lineRule="auto"/>
      </w:pPr>
      <w:r w:rsidRPr="00944AD8">
        <w:lastRenderedPageBreak/>
        <w:t>Main Panel A: Medicine, health and life sciences</w:t>
      </w:r>
    </w:p>
    <w:p w:rsidR="00D81F6B" w:rsidRPr="00944AD8" w:rsidRDefault="00D81F6B" w:rsidP="001A6AA0">
      <w:pPr>
        <w:pStyle w:val="ListParagraph"/>
        <w:numPr>
          <w:ilvl w:val="0"/>
          <w:numId w:val="6"/>
        </w:numPr>
        <w:spacing w:after="0" w:line="240" w:lineRule="auto"/>
      </w:pPr>
      <w:r w:rsidRPr="00944AD8">
        <w:t>Main Panel B: Physical sciences, engineering and mathematics</w:t>
      </w:r>
    </w:p>
    <w:p w:rsidR="00D81F6B" w:rsidRPr="00944AD8" w:rsidRDefault="00D81F6B" w:rsidP="001A6AA0">
      <w:pPr>
        <w:pStyle w:val="ListParagraph"/>
        <w:numPr>
          <w:ilvl w:val="0"/>
          <w:numId w:val="6"/>
        </w:numPr>
        <w:spacing w:after="0" w:line="240" w:lineRule="auto"/>
      </w:pPr>
      <w:r w:rsidRPr="00944AD8">
        <w:t>Main panel C: Social sciences</w:t>
      </w:r>
    </w:p>
    <w:p w:rsidR="00D81F6B" w:rsidRPr="00944AD8" w:rsidRDefault="00D81F6B" w:rsidP="001A6AA0">
      <w:pPr>
        <w:pStyle w:val="ListParagraph"/>
        <w:numPr>
          <w:ilvl w:val="0"/>
          <w:numId w:val="6"/>
        </w:numPr>
        <w:spacing w:after="0" w:line="240" w:lineRule="auto"/>
      </w:pPr>
      <w:r w:rsidRPr="00944AD8">
        <w:t>Main Panel D: Arts and humanities</w:t>
      </w:r>
    </w:p>
    <w:p w:rsidR="001A6AA0" w:rsidRPr="00432D9C" w:rsidRDefault="001A6AA0" w:rsidP="001A6AA0">
      <w:pPr>
        <w:spacing w:after="0" w:line="240" w:lineRule="auto"/>
        <w:rPr>
          <w:color w:val="FF0000"/>
        </w:rPr>
      </w:pPr>
    </w:p>
    <w:p w:rsidR="00392842" w:rsidRPr="00DA1E8C" w:rsidRDefault="00392842" w:rsidP="001A6AA0">
      <w:pPr>
        <w:spacing w:after="0" w:line="240" w:lineRule="auto"/>
      </w:pPr>
      <w:r w:rsidRPr="000B2A24">
        <w:t>These panels are appointed by the four UK founding bodies, and oversee the assessmen</w:t>
      </w:r>
      <w:r w:rsidR="00D81F6B" w:rsidRPr="000B2A24">
        <w:t>t</w:t>
      </w:r>
      <w:r w:rsidRPr="000B2A24">
        <w:t xml:space="preserve">, ensuring that the </w:t>
      </w:r>
      <w:r w:rsidR="00D81F6B" w:rsidRPr="000B2A24">
        <w:t>assessment criteria and standards are consistently applied. The</w:t>
      </w:r>
      <w:r w:rsidR="000B2A24" w:rsidRPr="000B2A24">
        <w:t>se</w:t>
      </w:r>
      <w:r w:rsidR="00D81F6B" w:rsidRPr="000B2A24">
        <w:t xml:space="preserve"> panels </w:t>
      </w:r>
      <w:r w:rsidR="00545C03" w:rsidRPr="000B2A24">
        <w:t xml:space="preserve">supported by the </w:t>
      </w:r>
      <w:hyperlink r:id="rId8" w:history="1">
        <w:r w:rsidR="00545C03" w:rsidRPr="00DA1E8C">
          <w:rPr>
            <w:rStyle w:val="Hyperlink"/>
          </w:rPr>
          <w:t>Equality and Diversity Advisory Panel (EDAP)</w:t>
        </w:r>
      </w:hyperlink>
      <w:r w:rsidR="00545C03" w:rsidRPr="00DA1E8C">
        <w:t xml:space="preserve"> and the </w:t>
      </w:r>
      <w:hyperlink r:id="rId9" w:history="1">
        <w:r w:rsidR="00545C03" w:rsidRPr="00DA1E8C">
          <w:rPr>
            <w:rStyle w:val="Hyperlink"/>
          </w:rPr>
          <w:t>Interdisciplinary Research Advisory Panel (IDAP)</w:t>
        </w:r>
      </w:hyperlink>
      <w:r w:rsidR="00545C03" w:rsidRPr="00DA1E8C">
        <w:t>.</w:t>
      </w:r>
    </w:p>
    <w:p w:rsidR="003A03CB" w:rsidRDefault="003A03CB" w:rsidP="003A03CB">
      <w:pPr>
        <w:pStyle w:val="Heading3"/>
      </w:pPr>
    </w:p>
    <w:p w:rsidR="001A6AA0" w:rsidRDefault="00191B06" w:rsidP="003A03CB">
      <w:pPr>
        <w:pStyle w:val="Heading3"/>
      </w:pPr>
      <w:bookmarkStart w:id="2" w:name="_How_are_REF"/>
      <w:bookmarkEnd w:id="2"/>
      <w:r>
        <w:t>How are REF submissions assessed?</w:t>
      </w:r>
    </w:p>
    <w:p w:rsidR="00191B06" w:rsidRDefault="00191B06" w:rsidP="00191B06">
      <w:pPr>
        <w:spacing w:before="120" w:after="0" w:line="240" w:lineRule="auto"/>
      </w:pPr>
      <w:r>
        <w:t>The research excellence of each university’s REF submission, is assessed through a process of peer review which is</w:t>
      </w:r>
      <w:r w:rsidR="00B06668">
        <w:t xml:space="preserve"> carried out by </w:t>
      </w:r>
      <w:r w:rsidR="00944AD8">
        <w:t>the</w:t>
      </w:r>
      <w:r w:rsidR="00B06668">
        <w:t xml:space="preserve"> expert. </w:t>
      </w:r>
      <w:r>
        <w:t xml:space="preserve">The quality of each output (those that make up the </w:t>
      </w:r>
      <w:r w:rsidR="00B06668">
        <w:t xml:space="preserve">institutional </w:t>
      </w:r>
      <w:r>
        <w:t>submission from the University) is graded as follows:</w:t>
      </w:r>
    </w:p>
    <w:p w:rsidR="00191B06" w:rsidRDefault="00191B06" w:rsidP="001A6AA0">
      <w:pPr>
        <w:spacing w:after="0" w:line="240" w:lineRule="auto"/>
      </w:pPr>
    </w:p>
    <w:tbl>
      <w:tblPr>
        <w:tblW w:w="13889" w:type="dxa"/>
        <w:tblCellSpacing w:w="15" w:type="dxa"/>
        <w:tblBorders>
          <w:top w:val="single" w:sz="6" w:space="0" w:color="D1D1D1"/>
          <w:left w:val="single" w:sz="6" w:space="0" w:color="D1D1D1"/>
          <w:bottom w:val="single" w:sz="2" w:space="0" w:color="D1D1D1"/>
          <w:right w:val="single" w:sz="2" w:space="0" w:color="D1D1D1"/>
        </w:tblBorders>
        <w:shd w:val="clear" w:color="auto" w:fill="FFFFFF"/>
        <w:tblCellMar>
          <w:top w:w="15" w:type="dxa"/>
          <w:left w:w="15" w:type="dxa"/>
          <w:bottom w:w="15" w:type="dxa"/>
          <w:right w:w="15" w:type="dxa"/>
        </w:tblCellMar>
        <w:tblLook w:val="04A0" w:firstRow="1" w:lastRow="0" w:firstColumn="1" w:lastColumn="0" w:noHBand="0" w:noVBand="1"/>
      </w:tblPr>
      <w:tblGrid>
        <w:gridCol w:w="1710"/>
        <w:gridCol w:w="12179"/>
      </w:tblGrid>
      <w:tr w:rsidR="00191B06" w:rsidRPr="00191B06" w:rsidTr="00153B95">
        <w:trPr>
          <w:trHeight w:val="148"/>
          <w:tblCellSpacing w:w="15" w:type="dxa"/>
        </w:trPr>
        <w:tc>
          <w:tcPr>
            <w:tcW w:w="1665" w:type="dxa"/>
            <w:tcBorders>
              <w:top w:val="single" w:sz="2" w:space="0" w:color="D1D1D1"/>
              <w:left w:val="single" w:sz="2" w:space="0" w:color="D1D1D1"/>
              <w:bottom w:val="single" w:sz="6" w:space="0" w:color="D1D1D1"/>
              <w:right w:val="single" w:sz="6" w:space="0" w:color="D1D1D1"/>
            </w:tcBorders>
            <w:shd w:val="clear" w:color="auto" w:fill="BDD6EE" w:themeFill="accent1" w:themeFillTint="66"/>
            <w:tcMar>
              <w:top w:w="105" w:type="dxa"/>
              <w:left w:w="105" w:type="dxa"/>
              <w:bottom w:w="105" w:type="dxa"/>
              <w:right w:w="105" w:type="dxa"/>
            </w:tcMar>
            <w:vAlign w:val="center"/>
            <w:hideMark/>
          </w:tcPr>
          <w:p w:rsidR="00191B06" w:rsidRPr="00153B95" w:rsidRDefault="00191B06" w:rsidP="00191B06">
            <w:pPr>
              <w:spacing w:after="420" w:line="240" w:lineRule="auto"/>
              <w:rPr>
                <w:rFonts w:eastAsia="Times New Roman" w:cs="Times New Roman"/>
                <w:b/>
                <w:color w:val="1A1A1A"/>
                <w:sz w:val="20"/>
                <w:szCs w:val="20"/>
                <w:lang w:eastAsia="en-GB"/>
              </w:rPr>
            </w:pPr>
            <w:r w:rsidRPr="00153B95">
              <w:rPr>
                <w:rFonts w:eastAsia="Times New Roman" w:cs="Times New Roman"/>
                <w:b/>
                <w:color w:val="1A1A1A"/>
                <w:sz w:val="20"/>
                <w:szCs w:val="20"/>
                <w:lang w:eastAsia="en-GB"/>
              </w:rPr>
              <w:t>4*</w:t>
            </w:r>
          </w:p>
        </w:tc>
        <w:tc>
          <w:tcPr>
            <w:tcW w:w="12134" w:type="dxa"/>
            <w:tcBorders>
              <w:top w:val="single" w:sz="2" w:space="0" w:color="D1D1D1"/>
              <w:left w:val="single" w:sz="2" w:space="0" w:color="D1D1D1"/>
              <w:bottom w:val="single" w:sz="6" w:space="0" w:color="D1D1D1"/>
              <w:right w:val="single" w:sz="6" w:space="0" w:color="D1D1D1"/>
            </w:tcBorders>
            <w:shd w:val="clear" w:color="auto" w:fill="BDD6EE" w:themeFill="accent1" w:themeFillTint="66"/>
            <w:tcMar>
              <w:top w:w="105" w:type="dxa"/>
              <w:left w:w="105" w:type="dxa"/>
              <w:bottom w:w="105" w:type="dxa"/>
              <w:right w:w="105" w:type="dxa"/>
            </w:tcMar>
            <w:vAlign w:val="center"/>
            <w:hideMark/>
          </w:tcPr>
          <w:p w:rsidR="00191B06" w:rsidRPr="00191B06" w:rsidRDefault="00191B06" w:rsidP="00191B06">
            <w:pPr>
              <w:spacing w:after="420" w:line="240" w:lineRule="auto"/>
              <w:rPr>
                <w:rFonts w:eastAsia="Times New Roman" w:cs="Times New Roman"/>
                <w:color w:val="1A1A1A"/>
                <w:sz w:val="20"/>
                <w:szCs w:val="20"/>
                <w:lang w:eastAsia="en-GB"/>
              </w:rPr>
            </w:pPr>
            <w:r w:rsidRPr="00191B06">
              <w:rPr>
                <w:rFonts w:eastAsia="Times New Roman" w:cs="Times New Roman"/>
                <w:color w:val="1A1A1A"/>
                <w:sz w:val="20"/>
                <w:szCs w:val="20"/>
                <w:lang w:eastAsia="en-GB"/>
              </w:rPr>
              <w:t>Quality that is world-leading in terms of originality, significance and rigour.</w:t>
            </w:r>
          </w:p>
        </w:tc>
      </w:tr>
      <w:tr w:rsidR="00191B06" w:rsidRPr="00191B06" w:rsidTr="00153B95">
        <w:trPr>
          <w:trHeight w:val="484"/>
          <w:tblCellSpacing w:w="15" w:type="dxa"/>
        </w:trPr>
        <w:tc>
          <w:tcPr>
            <w:tcW w:w="1665" w:type="dxa"/>
            <w:tcBorders>
              <w:top w:val="single" w:sz="2" w:space="0" w:color="D1D1D1"/>
              <w:left w:val="single" w:sz="2" w:space="0" w:color="D1D1D1"/>
              <w:bottom w:val="single" w:sz="6" w:space="0" w:color="D1D1D1"/>
              <w:right w:val="single" w:sz="6" w:space="0" w:color="D1D1D1"/>
            </w:tcBorders>
            <w:shd w:val="clear" w:color="auto" w:fill="BDD6EE" w:themeFill="accent1" w:themeFillTint="66"/>
            <w:tcMar>
              <w:top w:w="105" w:type="dxa"/>
              <w:left w:w="105" w:type="dxa"/>
              <w:bottom w:w="105" w:type="dxa"/>
              <w:right w:w="105" w:type="dxa"/>
            </w:tcMar>
            <w:vAlign w:val="center"/>
            <w:hideMark/>
          </w:tcPr>
          <w:p w:rsidR="00191B06" w:rsidRPr="00153B95" w:rsidRDefault="00191B06" w:rsidP="00191B06">
            <w:pPr>
              <w:spacing w:after="420" w:line="240" w:lineRule="auto"/>
              <w:rPr>
                <w:rFonts w:eastAsia="Times New Roman" w:cs="Times New Roman"/>
                <w:b/>
                <w:color w:val="1A1A1A"/>
                <w:sz w:val="20"/>
                <w:szCs w:val="20"/>
                <w:lang w:eastAsia="en-GB"/>
              </w:rPr>
            </w:pPr>
            <w:r w:rsidRPr="00153B95">
              <w:rPr>
                <w:rFonts w:eastAsia="Times New Roman" w:cs="Times New Roman"/>
                <w:b/>
                <w:color w:val="1A1A1A"/>
                <w:sz w:val="20"/>
                <w:szCs w:val="20"/>
                <w:lang w:eastAsia="en-GB"/>
              </w:rPr>
              <w:t>3*</w:t>
            </w:r>
          </w:p>
        </w:tc>
        <w:tc>
          <w:tcPr>
            <w:tcW w:w="12134" w:type="dxa"/>
            <w:tcBorders>
              <w:top w:val="single" w:sz="2" w:space="0" w:color="D1D1D1"/>
              <w:left w:val="single" w:sz="2" w:space="0" w:color="D1D1D1"/>
              <w:bottom w:val="single" w:sz="6" w:space="0" w:color="D1D1D1"/>
              <w:right w:val="single" w:sz="6" w:space="0" w:color="D1D1D1"/>
            </w:tcBorders>
            <w:shd w:val="clear" w:color="auto" w:fill="BDD6EE" w:themeFill="accent1" w:themeFillTint="66"/>
            <w:tcMar>
              <w:top w:w="105" w:type="dxa"/>
              <w:left w:w="105" w:type="dxa"/>
              <w:bottom w:w="105" w:type="dxa"/>
              <w:right w:w="105" w:type="dxa"/>
            </w:tcMar>
            <w:vAlign w:val="center"/>
            <w:hideMark/>
          </w:tcPr>
          <w:p w:rsidR="00191B06" w:rsidRPr="00191B06" w:rsidRDefault="00191B06" w:rsidP="00191B06">
            <w:pPr>
              <w:spacing w:after="420" w:line="240" w:lineRule="auto"/>
              <w:rPr>
                <w:rFonts w:eastAsia="Times New Roman" w:cs="Times New Roman"/>
                <w:color w:val="1A1A1A"/>
                <w:sz w:val="20"/>
                <w:szCs w:val="20"/>
                <w:lang w:eastAsia="en-GB"/>
              </w:rPr>
            </w:pPr>
            <w:r w:rsidRPr="00191B06">
              <w:rPr>
                <w:rFonts w:eastAsia="Times New Roman" w:cs="Times New Roman"/>
                <w:color w:val="1A1A1A"/>
                <w:sz w:val="20"/>
                <w:szCs w:val="20"/>
                <w:lang w:eastAsia="en-GB"/>
              </w:rPr>
              <w:t>Quality that is internationally excellent in terms of originality, significance and rigour but which falls short of the highest standards of excellence.</w:t>
            </w:r>
          </w:p>
        </w:tc>
      </w:tr>
      <w:tr w:rsidR="00191B06" w:rsidRPr="00191B06" w:rsidTr="00153B95">
        <w:trPr>
          <w:trHeight w:val="355"/>
          <w:tblCellSpacing w:w="15" w:type="dxa"/>
        </w:trPr>
        <w:tc>
          <w:tcPr>
            <w:tcW w:w="1665" w:type="dxa"/>
            <w:tcBorders>
              <w:top w:val="single" w:sz="2" w:space="0" w:color="D1D1D1"/>
              <w:left w:val="single" w:sz="2" w:space="0" w:color="D1D1D1"/>
              <w:bottom w:val="single" w:sz="6" w:space="0" w:color="D1D1D1"/>
              <w:right w:val="single" w:sz="6" w:space="0" w:color="D1D1D1"/>
            </w:tcBorders>
            <w:shd w:val="clear" w:color="auto" w:fill="BDD6EE" w:themeFill="accent1" w:themeFillTint="66"/>
            <w:tcMar>
              <w:top w:w="105" w:type="dxa"/>
              <w:left w:w="105" w:type="dxa"/>
              <w:bottom w:w="105" w:type="dxa"/>
              <w:right w:w="105" w:type="dxa"/>
            </w:tcMar>
            <w:vAlign w:val="center"/>
            <w:hideMark/>
          </w:tcPr>
          <w:p w:rsidR="00191B06" w:rsidRPr="00153B95" w:rsidRDefault="00191B06" w:rsidP="00191B06">
            <w:pPr>
              <w:spacing w:after="420" w:line="240" w:lineRule="auto"/>
              <w:rPr>
                <w:rFonts w:eastAsia="Times New Roman" w:cs="Times New Roman"/>
                <w:b/>
                <w:color w:val="1A1A1A"/>
                <w:sz w:val="20"/>
                <w:szCs w:val="20"/>
                <w:lang w:eastAsia="en-GB"/>
              </w:rPr>
            </w:pPr>
            <w:r w:rsidRPr="00153B95">
              <w:rPr>
                <w:rFonts w:eastAsia="Times New Roman" w:cs="Times New Roman"/>
                <w:b/>
                <w:color w:val="1A1A1A"/>
                <w:sz w:val="20"/>
                <w:szCs w:val="20"/>
                <w:lang w:eastAsia="en-GB"/>
              </w:rPr>
              <w:t>2*</w:t>
            </w:r>
          </w:p>
        </w:tc>
        <w:tc>
          <w:tcPr>
            <w:tcW w:w="12134" w:type="dxa"/>
            <w:tcBorders>
              <w:top w:val="single" w:sz="2" w:space="0" w:color="D1D1D1"/>
              <w:left w:val="single" w:sz="2" w:space="0" w:color="D1D1D1"/>
              <w:bottom w:val="single" w:sz="6" w:space="0" w:color="D1D1D1"/>
              <w:right w:val="single" w:sz="6" w:space="0" w:color="D1D1D1"/>
            </w:tcBorders>
            <w:shd w:val="clear" w:color="auto" w:fill="BDD6EE" w:themeFill="accent1" w:themeFillTint="66"/>
            <w:tcMar>
              <w:top w:w="105" w:type="dxa"/>
              <w:left w:w="105" w:type="dxa"/>
              <w:bottom w:w="105" w:type="dxa"/>
              <w:right w:w="105" w:type="dxa"/>
            </w:tcMar>
            <w:vAlign w:val="center"/>
            <w:hideMark/>
          </w:tcPr>
          <w:p w:rsidR="00191B06" w:rsidRPr="00191B06" w:rsidRDefault="00191B06" w:rsidP="00191B06">
            <w:pPr>
              <w:spacing w:after="420" w:line="240" w:lineRule="auto"/>
              <w:rPr>
                <w:rFonts w:eastAsia="Times New Roman" w:cs="Times New Roman"/>
                <w:color w:val="1A1A1A"/>
                <w:sz w:val="20"/>
                <w:szCs w:val="20"/>
                <w:lang w:eastAsia="en-GB"/>
              </w:rPr>
            </w:pPr>
            <w:r w:rsidRPr="00191B06">
              <w:rPr>
                <w:rFonts w:eastAsia="Times New Roman" w:cs="Times New Roman"/>
                <w:color w:val="1A1A1A"/>
                <w:sz w:val="20"/>
                <w:szCs w:val="20"/>
                <w:lang w:eastAsia="en-GB"/>
              </w:rPr>
              <w:t>Quality that is recognised internationally in terms of originality, significance and rigour.</w:t>
            </w:r>
          </w:p>
        </w:tc>
      </w:tr>
      <w:tr w:rsidR="00191B06" w:rsidRPr="00191B06" w:rsidTr="00153B95">
        <w:trPr>
          <w:trHeight w:val="348"/>
          <w:tblCellSpacing w:w="15" w:type="dxa"/>
        </w:trPr>
        <w:tc>
          <w:tcPr>
            <w:tcW w:w="1665" w:type="dxa"/>
            <w:tcBorders>
              <w:top w:val="single" w:sz="2" w:space="0" w:color="D1D1D1"/>
              <w:left w:val="single" w:sz="2" w:space="0" w:color="D1D1D1"/>
              <w:bottom w:val="single" w:sz="6" w:space="0" w:color="D1D1D1"/>
              <w:right w:val="single" w:sz="6" w:space="0" w:color="D1D1D1"/>
            </w:tcBorders>
            <w:shd w:val="clear" w:color="auto" w:fill="BDD6EE" w:themeFill="accent1" w:themeFillTint="66"/>
            <w:tcMar>
              <w:top w:w="105" w:type="dxa"/>
              <w:left w:w="105" w:type="dxa"/>
              <w:bottom w:w="105" w:type="dxa"/>
              <w:right w:w="105" w:type="dxa"/>
            </w:tcMar>
            <w:vAlign w:val="center"/>
            <w:hideMark/>
          </w:tcPr>
          <w:p w:rsidR="00191B06" w:rsidRPr="00153B95" w:rsidRDefault="00191B06" w:rsidP="00191B06">
            <w:pPr>
              <w:spacing w:after="420" w:line="240" w:lineRule="auto"/>
              <w:rPr>
                <w:rFonts w:eastAsia="Times New Roman" w:cs="Times New Roman"/>
                <w:b/>
                <w:color w:val="1A1A1A"/>
                <w:sz w:val="20"/>
                <w:szCs w:val="20"/>
                <w:lang w:eastAsia="en-GB"/>
              </w:rPr>
            </w:pPr>
            <w:r w:rsidRPr="00153B95">
              <w:rPr>
                <w:rFonts w:eastAsia="Times New Roman" w:cs="Times New Roman"/>
                <w:b/>
                <w:color w:val="1A1A1A"/>
                <w:sz w:val="20"/>
                <w:szCs w:val="20"/>
                <w:lang w:eastAsia="en-GB"/>
              </w:rPr>
              <w:t>1*</w:t>
            </w:r>
          </w:p>
        </w:tc>
        <w:tc>
          <w:tcPr>
            <w:tcW w:w="12134" w:type="dxa"/>
            <w:tcBorders>
              <w:top w:val="single" w:sz="2" w:space="0" w:color="D1D1D1"/>
              <w:left w:val="single" w:sz="2" w:space="0" w:color="D1D1D1"/>
              <w:bottom w:val="single" w:sz="6" w:space="0" w:color="D1D1D1"/>
              <w:right w:val="single" w:sz="6" w:space="0" w:color="D1D1D1"/>
            </w:tcBorders>
            <w:shd w:val="clear" w:color="auto" w:fill="BDD6EE" w:themeFill="accent1" w:themeFillTint="66"/>
            <w:tcMar>
              <w:top w:w="105" w:type="dxa"/>
              <w:left w:w="105" w:type="dxa"/>
              <w:bottom w:w="105" w:type="dxa"/>
              <w:right w:w="105" w:type="dxa"/>
            </w:tcMar>
            <w:vAlign w:val="center"/>
            <w:hideMark/>
          </w:tcPr>
          <w:p w:rsidR="00191B06" w:rsidRPr="00191B06" w:rsidRDefault="00191B06" w:rsidP="00191B06">
            <w:pPr>
              <w:spacing w:after="420" w:line="240" w:lineRule="auto"/>
              <w:rPr>
                <w:rFonts w:eastAsia="Times New Roman" w:cs="Times New Roman"/>
                <w:color w:val="1A1A1A"/>
                <w:sz w:val="20"/>
                <w:szCs w:val="20"/>
                <w:lang w:eastAsia="en-GB"/>
              </w:rPr>
            </w:pPr>
            <w:r w:rsidRPr="00191B06">
              <w:rPr>
                <w:rFonts w:eastAsia="Times New Roman" w:cs="Times New Roman"/>
                <w:color w:val="1A1A1A"/>
                <w:sz w:val="20"/>
                <w:szCs w:val="20"/>
                <w:lang w:eastAsia="en-GB"/>
              </w:rPr>
              <w:t>Quality that is recognised nationally in terms of originality, significance and rigour.</w:t>
            </w:r>
          </w:p>
        </w:tc>
      </w:tr>
      <w:tr w:rsidR="00191B06" w:rsidRPr="00191B06" w:rsidTr="00153B95">
        <w:trPr>
          <w:trHeight w:val="729"/>
          <w:tblCellSpacing w:w="15" w:type="dxa"/>
        </w:trPr>
        <w:tc>
          <w:tcPr>
            <w:tcW w:w="1665" w:type="dxa"/>
            <w:tcBorders>
              <w:top w:val="single" w:sz="2" w:space="0" w:color="D1D1D1"/>
              <w:left w:val="single" w:sz="2" w:space="0" w:color="D1D1D1"/>
              <w:bottom w:val="single" w:sz="6" w:space="0" w:color="D1D1D1"/>
              <w:right w:val="single" w:sz="6" w:space="0" w:color="D1D1D1"/>
            </w:tcBorders>
            <w:shd w:val="clear" w:color="auto" w:fill="BDD6EE" w:themeFill="accent1" w:themeFillTint="66"/>
            <w:tcMar>
              <w:top w:w="105" w:type="dxa"/>
              <w:left w:w="105" w:type="dxa"/>
              <w:bottom w:w="105" w:type="dxa"/>
              <w:right w:w="105" w:type="dxa"/>
            </w:tcMar>
            <w:vAlign w:val="center"/>
            <w:hideMark/>
          </w:tcPr>
          <w:p w:rsidR="00191B06" w:rsidRPr="00153B95" w:rsidRDefault="00191B06" w:rsidP="00191B06">
            <w:pPr>
              <w:spacing w:after="420" w:line="240" w:lineRule="auto"/>
              <w:rPr>
                <w:rFonts w:eastAsia="Times New Roman" w:cs="Times New Roman"/>
                <w:b/>
                <w:color w:val="1A1A1A"/>
                <w:sz w:val="20"/>
                <w:szCs w:val="20"/>
                <w:lang w:eastAsia="en-GB"/>
              </w:rPr>
            </w:pPr>
            <w:r w:rsidRPr="00153B95">
              <w:rPr>
                <w:rFonts w:eastAsia="Times New Roman" w:cs="Times New Roman"/>
                <w:b/>
                <w:color w:val="1A1A1A"/>
                <w:sz w:val="20"/>
                <w:szCs w:val="20"/>
                <w:lang w:eastAsia="en-GB"/>
              </w:rPr>
              <w:t>Unclassified</w:t>
            </w:r>
          </w:p>
        </w:tc>
        <w:tc>
          <w:tcPr>
            <w:tcW w:w="12134" w:type="dxa"/>
            <w:tcBorders>
              <w:top w:val="single" w:sz="2" w:space="0" w:color="D1D1D1"/>
              <w:left w:val="single" w:sz="2" w:space="0" w:color="D1D1D1"/>
              <w:bottom w:val="single" w:sz="6" w:space="0" w:color="D1D1D1"/>
              <w:right w:val="single" w:sz="6" w:space="0" w:color="D1D1D1"/>
            </w:tcBorders>
            <w:shd w:val="clear" w:color="auto" w:fill="BDD6EE" w:themeFill="accent1" w:themeFillTint="66"/>
            <w:tcMar>
              <w:top w:w="105" w:type="dxa"/>
              <w:left w:w="105" w:type="dxa"/>
              <w:bottom w:w="105" w:type="dxa"/>
              <w:right w:w="105" w:type="dxa"/>
            </w:tcMar>
            <w:vAlign w:val="center"/>
            <w:hideMark/>
          </w:tcPr>
          <w:p w:rsidR="00191B06" w:rsidRPr="00191B06" w:rsidRDefault="00191B06" w:rsidP="00191B06">
            <w:pPr>
              <w:spacing w:after="420" w:line="240" w:lineRule="auto"/>
              <w:rPr>
                <w:rFonts w:eastAsia="Times New Roman" w:cs="Times New Roman"/>
                <w:color w:val="1A1A1A"/>
                <w:sz w:val="20"/>
                <w:szCs w:val="20"/>
                <w:lang w:eastAsia="en-GB"/>
              </w:rPr>
            </w:pPr>
            <w:r w:rsidRPr="00191B06">
              <w:rPr>
                <w:rFonts w:eastAsia="Times New Roman" w:cs="Times New Roman"/>
                <w:color w:val="1A1A1A"/>
                <w:sz w:val="20"/>
                <w:szCs w:val="20"/>
                <w:lang w:eastAsia="en-GB"/>
              </w:rPr>
              <w:t>Quality that falls below the standard of nationally recognised work. Or work which does not meet the published definition of research for the purposes of this assessment.</w:t>
            </w:r>
          </w:p>
        </w:tc>
      </w:tr>
    </w:tbl>
    <w:p w:rsidR="00B06668" w:rsidRDefault="00B06668" w:rsidP="003A03CB">
      <w:pPr>
        <w:pStyle w:val="Heading3"/>
        <w:spacing w:before="120"/>
      </w:pPr>
      <w:bookmarkStart w:id="3" w:name="_What_is_a"/>
      <w:bookmarkEnd w:id="3"/>
    </w:p>
    <w:p w:rsidR="00B06668" w:rsidRDefault="00B06668" w:rsidP="003A03CB">
      <w:pPr>
        <w:pStyle w:val="Heading3"/>
        <w:spacing w:before="0"/>
      </w:pPr>
      <w:bookmarkStart w:id="4" w:name="_What_has_changed"/>
      <w:bookmarkEnd w:id="4"/>
      <w:r>
        <w:t>What has changed since REF 2014?</w:t>
      </w:r>
    </w:p>
    <w:p w:rsidR="00B06668" w:rsidRPr="00B06668" w:rsidRDefault="00B06668" w:rsidP="00B06668">
      <w:pPr>
        <w:spacing w:before="120" w:after="0"/>
      </w:pPr>
      <w:r>
        <w:t>A major review of REF took place in 2015 and this resulted in a number of changes for REF 2021. The most significant changes include:</w:t>
      </w:r>
    </w:p>
    <w:p w:rsidR="00B06668" w:rsidRPr="00B06668" w:rsidRDefault="00B06668" w:rsidP="00B06668">
      <w:pPr>
        <w:numPr>
          <w:ilvl w:val="0"/>
          <w:numId w:val="10"/>
        </w:numPr>
        <w:shd w:val="clear" w:color="auto" w:fill="FFFFFF"/>
        <w:spacing w:before="120" w:after="0" w:line="240" w:lineRule="auto"/>
        <w:rPr>
          <w:rFonts w:eastAsia="Times New Roman" w:cs="Times New Roman"/>
          <w:lang w:eastAsia="en-GB"/>
        </w:rPr>
      </w:pPr>
      <w:r w:rsidRPr="00B06668">
        <w:rPr>
          <w:rFonts w:eastAsia="Times New Roman" w:cs="Times New Roman"/>
          <w:lang w:eastAsia="en-GB"/>
        </w:rPr>
        <w:t xml:space="preserve">REF2021 </w:t>
      </w:r>
      <w:r>
        <w:rPr>
          <w:rFonts w:eastAsia="Times New Roman" w:cs="Times New Roman"/>
          <w:lang w:eastAsia="en-GB"/>
        </w:rPr>
        <w:t xml:space="preserve">will not be a selective exercise - </w:t>
      </w:r>
      <w:r w:rsidRPr="00B06668">
        <w:rPr>
          <w:rFonts w:eastAsia="Times New Roman" w:cs="Times New Roman"/>
          <w:lang w:eastAsia="en-GB"/>
        </w:rPr>
        <w:t xml:space="preserve">we </w:t>
      </w:r>
      <w:r>
        <w:rPr>
          <w:rFonts w:eastAsia="Times New Roman" w:cs="Times New Roman"/>
          <w:lang w:eastAsia="en-GB"/>
        </w:rPr>
        <w:t>are now</w:t>
      </w:r>
      <w:r w:rsidRPr="00B06668">
        <w:rPr>
          <w:rFonts w:eastAsia="Times New Roman" w:cs="Times New Roman"/>
          <w:lang w:eastAsia="en-GB"/>
        </w:rPr>
        <w:t xml:space="preserve"> required to include all staff who have a significant responsibility for research</w:t>
      </w:r>
    </w:p>
    <w:p w:rsidR="00B06668" w:rsidRPr="00B06668" w:rsidRDefault="00B06668" w:rsidP="00B06668">
      <w:pPr>
        <w:numPr>
          <w:ilvl w:val="0"/>
          <w:numId w:val="10"/>
        </w:numPr>
        <w:shd w:val="clear" w:color="auto" w:fill="FFFFFF"/>
        <w:spacing w:before="120" w:after="0" w:line="240" w:lineRule="auto"/>
        <w:rPr>
          <w:rFonts w:eastAsia="Times New Roman" w:cs="Times New Roman"/>
          <w:lang w:eastAsia="en-GB"/>
        </w:rPr>
      </w:pPr>
      <w:r>
        <w:rPr>
          <w:rFonts w:eastAsia="Times New Roman" w:cs="Times New Roman"/>
          <w:lang w:eastAsia="en-GB"/>
        </w:rPr>
        <w:t>We are required to</w:t>
      </w:r>
      <w:r w:rsidRPr="00B06668">
        <w:rPr>
          <w:rFonts w:eastAsia="Times New Roman" w:cs="Times New Roman"/>
          <w:lang w:eastAsia="en-GB"/>
        </w:rPr>
        <w:t xml:space="preserve"> submit a pool of outputs produced during the REF period, rather than (normally) four papers per person as in 2014. This will include one paper from every person in post on the census date (31/07/2020) but can also include outputs from staff who have left the University.</w:t>
      </w:r>
    </w:p>
    <w:p w:rsidR="00B06668" w:rsidRPr="003D4AA8" w:rsidRDefault="00B06668" w:rsidP="003D4AA8">
      <w:pPr>
        <w:numPr>
          <w:ilvl w:val="0"/>
          <w:numId w:val="10"/>
        </w:numPr>
        <w:shd w:val="clear" w:color="auto" w:fill="FFFFFF"/>
        <w:spacing w:before="120" w:after="0" w:line="240" w:lineRule="auto"/>
      </w:pPr>
      <w:r w:rsidRPr="00B06668">
        <w:rPr>
          <w:rFonts w:eastAsia="Times New Roman" w:cs="Times New Roman"/>
          <w:lang w:eastAsia="en-GB"/>
        </w:rPr>
        <w:t>There is a broader definition of impact to emphasise public engagement and to include impact on teaching</w:t>
      </w:r>
    </w:p>
    <w:p w:rsidR="003D4AA8" w:rsidRPr="00B06668" w:rsidRDefault="003D4AA8" w:rsidP="003D4AA8">
      <w:pPr>
        <w:numPr>
          <w:ilvl w:val="0"/>
          <w:numId w:val="10"/>
        </w:numPr>
        <w:shd w:val="clear" w:color="auto" w:fill="FFFFFF"/>
        <w:spacing w:before="120" w:after="0" w:line="240" w:lineRule="auto"/>
      </w:pPr>
      <w:r>
        <w:rPr>
          <w:rFonts w:eastAsia="Times New Roman" w:cs="Times New Roman"/>
          <w:lang w:eastAsia="en-GB"/>
        </w:rPr>
        <w:t>The approach to individual circumstances is more complex.</w:t>
      </w:r>
    </w:p>
    <w:p w:rsidR="001A6AA0" w:rsidRPr="00DA1E8C" w:rsidRDefault="001A6AA0" w:rsidP="001A6AA0">
      <w:pPr>
        <w:spacing w:after="0" w:line="240" w:lineRule="auto"/>
        <w:rPr>
          <w:b/>
          <w:u w:val="single"/>
        </w:rPr>
      </w:pPr>
    </w:p>
    <w:p w:rsidR="001A6AA0" w:rsidRPr="00E87E90" w:rsidRDefault="001A6AA0" w:rsidP="00E87E90">
      <w:pPr>
        <w:pStyle w:val="Heading3"/>
      </w:pPr>
      <w:bookmarkStart w:id="5" w:name="_I’m_a_decision-maker"/>
      <w:bookmarkEnd w:id="5"/>
      <w:r w:rsidRPr="00E87E90">
        <w:t>I’m a decision-maker – what do I have to do?</w:t>
      </w:r>
    </w:p>
    <w:p w:rsidR="001A6AA0" w:rsidRDefault="009E14A7" w:rsidP="009E14A7">
      <w:pPr>
        <w:pStyle w:val="ListParagraph"/>
        <w:numPr>
          <w:ilvl w:val="0"/>
          <w:numId w:val="13"/>
        </w:numPr>
        <w:spacing w:before="120" w:after="0" w:line="240" w:lineRule="auto"/>
      </w:pPr>
      <w:r>
        <w:t>Ensure you understand the eligibility criteria on REF 2021 independent researcher status</w:t>
      </w:r>
    </w:p>
    <w:p w:rsidR="009E14A7" w:rsidRDefault="009E14A7" w:rsidP="009E14A7">
      <w:pPr>
        <w:pStyle w:val="ListParagraph"/>
        <w:numPr>
          <w:ilvl w:val="0"/>
          <w:numId w:val="13"/>
        </w:numPr>
        <w:spacing w:before="120" w:after="0" w:line="240" w:lineRule="auto"/>
      </w:pPr>
      <w:r>
        <w:t>Be aware of important deadlines and key meeting dates</w:t>
      </w:r>
    </w:p>
    <w:p w:rsidR="009E14A7" w:rsidRDefault="009E14A7" w:rsidP="009E14A7">
      <w:pPr>
        <w:pStyle w:val="ListParagraph"/>
        <w:numPr>
          <w:ilvl w:val="0"/>
          <w:numId w:val="13"/>
        </w:numPr>
        <w:spacing w:before="120" w:after="0" w:line="240" w:lineRule="auto"/>
      </w:pPr>
      <w:r>
        <w:t>Read the Exeter REF 2021 monthly update for decision makers</w:t>
      </w:r>
    </w:p>
    <w:p w:rsidR="009E14A7" w:rsidRPr="009E14A7" w:rsidRDefault="009E14A7" w:rsidP="009E14A7">
      <w:pPr>
        <w:pStyle w:val="ListParagraph"/>
        <w:numPr>
          <w:ilvl w:val="0"/>
          <w:numId w:val="13"/>
        </w:numPr>
        <w:spacing w:before="120" w:after="0" w:line="240" w:lineRule="auto"/>
      </w:pPr>
      <w:r>
        <w:lastRenderedPageBreak/>
        <w:t xml:space="preserve">Cascade understanding that </w:t>
      </w:r>
      <w:r w:rsidRPr="009E14A7">
        <w:t>eligibility against REF independent research criteria is not a judgement on an individual’s independence of though or ability to work independently.</w:t>
      </w:r>
    </w:p>
    <w:p w:rsidR="009E14A7" w:rsidRPr="009E14A7" w:rsidRDefault="009E14A7" w:rsidP="00B86413">
      <w:pPr>
        <w:pStyle w:val="ListParagraph"/>
        <w:numPr>
          <w:ilvl w:val="0"/>
          <w:numId w:val="13"/>
        </w:numPr>
        <w:spacing w:before="120" w:after="0" w:line="240" w:lineRule="auto"/>
      </w:pPr>
      <w:r w:rsidRPr="009E14A7">
        <w:t>Be an advocate for REF 2021 and the University’s collaborative approach to it.</w:t>
      </w:r>
    </w:p>
    <w:p w:rsidR="001A6AA0" w:rsidRPr="009E14A7" w:rsidRDefault="001A6AA0" w:rsidP="001A6AA0">
      <w:pPr>
        <w:spacing w:after="0" w:line="240" w:lineRule="auto"/>
      </w:pPr>
    </w:p>
    <w:p w:rsidR="001A6AA0" w:rsidRPr="00E87E90" w:rsidRDefault="001A6AA0" w:rsidP="00E87E90">
      <w:pPr>
        <w:pStyle w:val="Heading3"/>
      </w:pPr>
      <w:bookmarkStart w:id="6" w:name="_I’m_a_researcher"/>
      <w:bookmarkEnd w:id="6"/>
      <w:r w:rsidRPr="00E87E90">
        <w:t>I’m a researcher – what do I have to do?</w:t>
      </w:r>
    </w:p>
    <w:p w:rsidR="00A54D99" w:rsidRDefault="00A54D99" w:rsidP="00A54D99">
      <w:pPr>
        <w:pStyle w:val="ListParagraph"/>
        <w:numPr>
          <w:ilvl w:val="0"/>
          <w:numId w:val="11"/>
        </w:numPr>
        <w:spacing w:before="120" w:after="0" w:line="240" w:lineRule="auto"/>
      </w:pPr>
      <w:r>
        <w:t>Publish your best work</w:t>
      </w:r>
    </w:p>
    <w:p w:rsidR="00A54D99" w:rsidRDefault="00A54D99" w:rsidP="00A54D99">
      <w:pPr>
        <w:pStyle w:val="ListParagraph"/>
        <w:numPr>
          <w:ilvl w:val="0"/>
          <w:numId w:val="11"/>
        </w:numPr>
        <w:spacing w:after="0" w:line="240" w:lineRule="auto"/>
      </w:pPr>
      <w:r>
        <w:t xml:space="preserve">Register for an </w:t>
      </w:r>
      <w:hyperlink r:id="rId10" w:anchor="utm_source=RSbillboard&amp;utm_medium=Billboard&amp;utm_campaign=OA" w:history="1">
        <w:r w:rsidRPr="00A54D99">
          <w:rPr>
            <w:rStyle w:val="Hyperlink"/>
          </w:rPr>
          <w:t>ORCID</w:t>
        </w:r>
      </w:hyperlink>
      <w:r>
        <w:t xml:space="preserve"> number</w:t>
      </w:r>
    </w:p>
    <w:p w:rsidR="00A54D99" w:rsidRDefault="00A54D99" w:rsidP="00A54D99">
      <w:pPr>
        <w:pStyle w:val="ListParagraph"/>
        <w:numPr>
          <w:ilvl w:val="0"/>
          <w:numId w:val="11"/>
        </w:numPr>
        <w:spacing w:after="0" w:line="240" w:lineRule="auto"/>
      </w:pPr>
      <w:r>
        <w:t>Gather supporting evidence for impact case studies (where applicable)</w:t>
      </w:r>
    </w:p>
    <w:p w:rsidR="008C5C3C" w:rsidRDefault="008C5C3C" w:rsidP="00A54D99">
      <w:pPr>
        <w:pStyle w:val="ListParagraph"/>
        <w:numPr>
          <w:ilvl w:val="0"/>
          <w:numId w:val="11"/>
        </w:numPr>
        <w:spacing w:after="0" w:line="240" w:lineRule="auto"/>
      </w:pPr>
      <w:r>
        <w:t xml:space="preserve">Ensure your publications comply with the </w:t>
      </w:r>
      <w:hyperlink r:id="rId11" w:history="1">
        <w:r w:rsidRPr="008C5C3C">
          <w:rPr>
            <w:rStyle w:val="Hyperlink"/>
          </w:rPr>
          <w:t>REF Open Access Policy</w:t>
        </w:r>
      </w:hyperlink>
    </w:p>
    <w:p w:rsidR="00A54D99" w:rsidRDefault="00A54D99" w:rsidP="00A54D99">
      <w:pPr>
        <w:pStyle w:val="ListParagraph"/>
        <w:numPr>
          <w:ilvl w:val="0"/>
          <w:numId w:val="11"/>
        </w:numPr>
        <w:spacing w:after="0" w:line="240" w:lineRule="auto"/>
      </w:pPr>
      <w:r>
        <w:t xml:space="preserve">Support your </w:t>
      </w:r>
      <w:proofErr w:type="spellStart"/>
      <w:r>
        <w:t>DoRs</w:t>
      </w:r>
      <w:proofErr w:type="spellEnd"/>
      <w:r>
        <w:t xml:space="preserve"> and </w:t>
      </w:r>
      <w:proofErr w:type="spellStart"/>
      <w:r>
        <w:t>DoIs</w:t>
      </w:r>
      <w:proofErr w:type="spellEnd"/>
    </w:p>
    <w:p w:rsidR="00A54D99" w:rsidRPr="00A54D99" w:rsidRDefault="00A54D99" w:rsidP="00A54D99">
      <w:pPr>
        <w:pStyle w:val="ListParagraph"/>
        <w:numPr>
          <w:ilvl w:val="0"/>
          <w:numId w:val="11"/>
        </w:numPr>
        <w:spacing w:after="0" w:line="240" w:lineRule="auto"/>
      </w:pPr>
      <w:r>
        <w:t xml:space="preserve">Fill in the individual circumstances disclosure form </w:t>
      </w:r>
    </w:p>
    <w:p w:rsidR="00A54D99" w:rsidRDefault="00A54D99" w:rsidP="001A6AA0">
      <w:pPr>
        <w:spacing w:after="0" w:line="240" w:lineRule="auto"/>
        <w:rPr>
          <w:b/>
          <w:u w:val="single"/>
        </w:rPr>
      </w:pPr>
    </w:p>
    <w:p w:rsidR="009C08F0" w:rsidRPr="00E87E90" w:rsidRDefault="009C08F0" w:rsidP="009C08F0">
      <w:pPr>
        <w:pStyle w:val="Heading3"/>
        <w:rPr>
          <w:rFonts w:asciiTheme="minorHAnsi" w:hAnsiTheme="minorHAnsi"/>
          <w:sz w:val="22"/>
          <w:szCs w:val="22"/>
        </w:rPr>
      </w:pPr>
      <w:bookmarkStart w:id="7" w:name="_REF_2021_Results"/>
      <w:bookmarkEnd w:id="7"/>
      <w:r w:rsidRPr="00E87E90">
        <w:t>REF 2021 Results</w:t>
      </w:r>
    </w:p>
    <w:p w:rsidR="00153B95" w:rsidRDefault="00657A5B" w:rsidP="00657A5B">
      <w:pPr>
        <w:widowControl w:val="0"/>
        <w:tabs>
          <w:tab w:val="left" w:pos="1681"/>
        </w:tabs>
        <w:autoSpaceDE w:val="0"/>
        <w:autoSpaceDN w:val="0"/>
        <w:spacing w:before="112" w:after="0" w:line="247" w:lineRule="auto"/>
        <w:ind w:right="1809"/>
        <w:rPr>
          <w:rFonts w:cstheme="minorHAnsi"/>
        </w:rPr>
      </w:pPr>
      <w:proofErr w:type="gramStart"/>
      <w:r w:rsidRPr="00657A5B">
        <w:rPr>
          <w:rFonts w:cstheme="minorHAnsi"/>
        </w:rPr>
        <w:t>Submissions will be assessed by the REF panels</w:t>
      </w:r>
      <w:proofErr w:type="gramEnd"/>
      <w:r w:rsidRPr="00657A5B">
        <w:rPr>
          <w:rFonts w:cstheme="minorHAnsi"/>
        </w:rPr>
        <w:t xml:space="preserve"> during the period May 2021 to March 2022.</w:t>
      </w:r>
      <w:r w:rsidRPr="00657A5B">
        <w:rPr>
          <w:rFonts w:cstheme="minorHAnsi"/>
          <w:spacing w:val="-7"/>
        </w:rPr>
        <w:t xml:space="preserve"> </w:t>
      </w:r>
      <w:r w:rsidRPr="00657A5B">
        <w:rPr>
          <w:rFonts w:cstheme="minorHAnsi"/>
        </w:rPr>
        <w:t>Results</w:t>
      </w:r>
      <w:r w:rsidRPr="00657A5B">
        <w:rPr>
          <w:rFonts w:cstheme="minorHAnsi"/>
          <w:spacing w:val="-8"/>
        </w:rPr>
        <w:t xml:space="preserve"> </w:t>
      </w:r>
      <w:proofErr w:type="gramStart"/>
      <w:r w:rsidRPr="00657A5B">
        <w:rPr>
          <w:rFonts w:cstheme="minorHAnsi"/>
        </w:rPr>
        <w:t>are</w:t>
      </w:r>
      <w:r w:rsidRPr="00657A5B">
        <w:rPr>
          <w:rFonts w:cstheme="minorHAnsi"/>
          <w:spacing w:val="-8"/>
        </w:rPr>
        <w:t xml:space="preserve"> </w:t>
      </w:r>
      <w:r w:rsidRPr="00657A5B">
        <w:rPr>
          <w:rFonts w:cstheme="minorHAnsi"/>
        </w:rPr>
        <w:t>expected</w:t>
      </w:r>
      <w:proofErr w:type="gramEnd"/>
      <w:r w:rsidRPr="00657A5B">
        <w:rPr>
          <w:rFonts w:cstheme="minorHAnsi"/>
          <w:spacing w:val="-7"/>
        </w:rPr>
        <w:t xml:space="preserve"> </w:t>
      </w:r>
      <w:r w:rsidRPr="00657A5B">
        <w:rPr>
          <w:rFonts w:cstheme="minorHAnsi"/>
        </w:rPr>
        <w:t>in</w:t>
      </w:r>
      <w:r w:rsidRPr="00657A5B">
        <w:rPr>
          <w:rFonts w:cstheme="minorHAnsi"/>
          <w:spacing w:val="-6"/>
        </w:rPr>
        <w:t xml:space="preserve"> </w:t>
      </w:r>
      <w:r w:rsidRPr="00657A5B">
        <w:rPr>
          <w:rFonts w:cstheme="minorHAnsi"/>
        </w:rPr>
        <w:t>April</w:t>
      </w:r>
      <w:r w:rsidRPr="00657A5B">
        <w:rPr>
          <w:rFonts w:cstheme="minorHAnsi"/>
          <w:spacing w:val="-7"/>
        </w:rPr>
        <w:t xml:space="preserve"> </w:t>
      </w:r>
      <w:r w:rsidRPr="00657A5B">
        <w:rPr>
          <w:rFonts w:cstheme="minorHAnsi"/>
        </w:rPr>
        <w:t>2022</w:t>
      </w:r>
      <w:r w:rsidRPr="00657A5B">
        <w:rPr>
          <w:rFonts w:cstheme="minorHAnsi"/>
          <w:spacing w:val="-7"/>
        </w:rPr>
        <w:t xml:space="preserve"> </w:t>
      </w:r>
      <w:r w:rsidRPr="00657A5B">
        <w:rPr>
          <w:rFonts w:cstheme="minorHAnsi"/>
        </w:rPr>
        <w:t>and</w:t>
      </w:r>
      <w:r w:rsidRPr="00657A5B">
        <w:rPr>
          <w:rFonts w:cstheme="minorHAnsi"/>
          <w:spacing w:val="-8"/>
        </w:rPr>
        <w:t xml:space="preserve"> </w:t>
      </w:r>
      <w:r w:rsidRPr="00657A5B">
        <w:rPr>
          <w:rFonts w:cstheme="minorHAnsi"/>
        </w:rPr>
        <w:t>are</w:t>
      </w:r>
      <w:r w:rsidRPr="00657A5B">
        <w:rPr>
          <w:rFonts w:cstheme="minorHAnsi"/>
          <w:spacing w:val="-7"/>
        </w:rPr>
        <w:t xml:space="preserve"> </w:t>
      </w:r>
      <w:r w:rsidRPr="00657A5B">
        <w:rPr>
          <w:rFonts w:cstheme="minorHAnsi"/>
        </w:rPr>
        <w:t>intended</w:t>
      </w:r>
      <w:r w:rsidRPr="00657A5B">
        <w:rPr>
          <w:rFonts w:cstheme="minorHAnsi"/>
          <w:spacing w:val="-7"/>
        </w:rPr>
        <w:t xml:space="preserve"> </w:t>
      </w:r>
      <w:r w:rsidRPr="00657A5B">
        <w:rPr>
          <w:rFonts w:cstheme="minorHAnsi"/>
        </w:rPr>
        <w:t>to</w:t>
      </w:r>
      <w:r w:rsidRPr="00657A5B">
        <w:rPr>
          <w:rFonts w:cstheme="minorHAnsi"/>
          <w:spacing w:val="-7"/>
        </w:rPr>
        <w:t xml:space="preserve"> </w:t>
      </w:r>
      <w:r w:rsidRPr="00657A5B">
        <w:rPr>
          <w:rFonts w:cstheme="minorHAnsi"/>
        </w:rPr>
        <w:t>be</w:t>
      </w:r>
      <w:r w:rsidRPr="00657A5B">
        <w:rPr>
          <w:rFonts w:cstheme="minorHAnsi"/>
          <w:spacing w:val="-7"/>
        </w:rPr>
        <w:t xml:space="preserve"> </w:t>
      </w:r>
      <w:r w:rsidRPr="00657A5B">
        <w:rPr>
          <w:rFonts w:cstheme="minorHAnsi"/>
        </w:rPr>
        <w:t>used</w:t>
      </w:r>
      <w:r w:rsidRPr="00657A5B">
        <w:rPr>
          <w:rFonts w:cstheme="minorHAnsi"/>
          <w:spacing w:val="-7"/>
        </w:rPr>
        <w:t xml:space="preserve"> </w:t>
      </w:r>
      <w:r w:rsidRPr="00657A5B">
        <w:rPr>
          <w:rFonts w:cstheme="minorHAnsi"/>
        </w:rPr>
        <w:t>by</w:t>
      </w:r>
      <w:r w:rsidRPr="00657A5B">
        <w:rPr>
          <w:rFonts w:cstheme="minorHAnsi"/>
          <w:spacing w:val="-6"/>
        </w:rPr>
        <w:t xml:space="preserve"> </w:t>
      </w:r>
      <w:r w:rsidRPr="00657A5B">
        <w:rPr>
          <w:rFonts w:cstheme="minorHAnsi"/>
        </w:rPr>
        <w:t>the</w:t>
      </w:r>
      <w:r w:rsidRPr="00657A5B">
        <w:rPr>
          <w:rFonts w:cstheme="minorHAnsi"/>
          <w:spacing w:val="-7"/>
        </w:rPr>
        <w:t xml:space="preserve"> </w:t>
      </w:r>
      <w:r w:rsidRPr="00657A5B">
        <w:rPr>
          <w:rFonts w:cstheme="minorHAnsi"/>
        </w:rPr>
        <w:t>funding</w:t>
      </w:r>
      <w:r w:rsidRPr="00657A5B">
        <w:rPr>
          <w:rFonts w:cstheme="minorHAnsi"/>
          <w:spacing w:val="-7"/>
        </w:rPr>
        <w:t xml:space="preserve"> </w:t>
      </w:r>
      <w:r w:rsidRPr="00657A5B">
        <w:rPr>
          <w:rFonts w:cstheme="minorHAnsi"/>
        </w:rPr>
        <w:t>bodies to inform research funding from the academic year</w:t>
      </w:r>
      <w:r w:rsidRPr="00657A5B">
        <w:rPr>
          <w:rFonts w:cstheme="minorHAnsi"/>
          <w:spacing w:val="-26"/>
        </w:rPr>
        <w:t xml:space="preserve"> </w:t>
      </w:r>
      <w:r w:rsidRPr="00657A5B">
        <w:rPr>
          <w:rFonts w:cstheme="minorHAnsi"/>
        </w:rPr>
        <w:t>2022–23.</w:t>
      </w:r>
    </w:p>
    <w:p w:rsidR="00657A5B" w:rsidRPr="00657A5B" w:rsidRDefault="00657A5B" w:rsidP="00657A5B">
      <w:pPr>
        <w:widowControl w:val="0"/>
        <w:tabs>
          <w:tab w:val="left" w:pos="1681"/>
        </w:tabs>
        <w:autoSpaceDE w:val="0"/>
        <w:autoSpaceDN w:val="0"/>
        <w:spacing w:before="112" w:after="0" w:line="247" w:lineRule="auto"/>
        <w:ind w:right="1809"/>
        <w:rPr>
          <w:rFonts w:cstheme="minorHAnsi"/>
        </w:rPr>
      </w:pPr>
      <w:bookmarkStart w:id="8" w:name="_GoBack"/>
      <w:bookmarkEnd w:id="8"/>
    </w:p>
    <w:p w:rsidR="00657A5B" w:rsidRPr="00657A5B" w:rsidRDefault="00153B95" w:rsidP="00657A5B">
      <w:pPr>
        <w:pStyle w:val="Heading3"/>
      </w:pPr>
      <w:bookmarkStart w:id="9" w:name="_REF_2021_Key"/>
      <w:bookmarkEnd w:id="9"/>
      <w:r>
        <w:t>REF 2021 Key dates</w:t>
      </w:r>
    </w:p>
    <w:p w:rsidR="00657A5B" w:rsidRDefault="00657A5B" w:rsidP="00C661E4">
      <w:pPr>
        <w:spacing w:before="120" w:after="0" w:line="240" w:lineRule="auto"/>
      </w:pPr>
      <w:bookmarkStart w:id="10" w:name="_Timeline"/>
      <w:bookmarkStart w:id="11" w:name="_REF_Timeline"/>
      <w:bookmarkStart w:id="12" w:name="_More_information_and"/>
      <w:bookmarkEnd w:id="10"/>
      <w:bookmarkEnd w:id="11"/>
      <w:bookmarkEnd w:id="12"/>
      <w:r>
        <w:t>The deadline for submissions was midday, 31 March 2021.</w:t>
      </w:r>
    </w:p>
    <w:p w:rsidR="003119A1" w:rsidRDefault="00D04FFD" w:rsidP="00C661E4">
      <w:pPr>
        <w:spacing w:before="120" w:after="0" w:line="240" w:lineRule="auto"/>
      </w:pPr>
      <w:r>
        <w:t xml:space="preserve">Contact the Exeter REF team – </w:t>
      </w:r>
      <w:hyperlink r:id="rId12" w:history="1">
        <w:r w:rsidRPr="006D1D28">
          <w:rPr>
            <w:rStyle w:val="Hyperlink"/>
          </w:rPr>
          <w:t>Exeter-REF-2021@Exeter.ac.uk</w:t>
        </w:r>
      </w:hyperlink>
    </w:p>
    <w:p w:rsidR="00D04FFD" w:rsidRDefault="00D04FFD" w:rsidP="00D04FFD">
      <w:pPr>
        <w:spacing w:before="120" w:after="0" w:line="240" w:lineRule="auto"/>
        <w:rPr>
          <w:color w:val="0000FF"/>
          <w:u w:val="single"/>
        </w:rPr>
      </w:pPr>
      <w:r>
        <w:t xml:space="preserve">Exeter REF 2021 website – </w:t>
      </w:r>
      <w:hyperlink r:id="rId13" w:history="1">
        <w:r w:rsidRPr="006D1D28">
          <w:rPr>
            <w:rStyle w:val="Hyperlink"/>
          </w:rPr>
          <w:t>www.exeter.ac.uk/research/services/ref/ref2021/</w:t>
        </w:r>
      </w:hyperlink>
    </w:p>
    <w:p w:rsidR="00D6615E" w:rsidRDefault="00D6615E" w:rsidP="00D6615E">
      <w:pPr>
        <w:spacing w:before="120" w:after="0" w:line="240" w:lineRule="auto"/>
      </w:pPr>
      <w:r>
        <w:t xml:space="preserve">What REF means to me – </w:t>
      </w:r>
      <w:hyperlink r:id="rId14" w:history="1">
        <w:r w:rsidRPr="00092E81">
          <w:rPr>
            <w:rStyle w:val="Hyperlink"/>
          </w:rPr>
          <w:t>key questions for academics and researchers (Research England)</w:t>
        </w:r>
      </w:hyperlink>
      <w:r>
        <w:t xml:space="preserve"> </w:t>
      </w:r>
    </w:p>
    <w:p w:rsidR="001E770F" w:rsidRPr="00D6615E" w:rsidRDefault="00D04FFD" w:rsidP="00D6615E">
      <w:pPr>
        <w:spacing w:before="120" w:after="0" w:line="240" w:lineRule="auto"/>
        <w:rPr>
          <w:color w:val="0000FF"/>
          <w:u w:val="single"/>
        </w:rPr>
      </w:pPr>
      <w:r w:rsidRPr="00D04FFD">
        <w:t xml:space="preserve">Latest information from Research England - </w:t>
      </w:r>
      <w:hyperlink r:id="rId15" w:history="1">
        <w:r w:rsidRPr="006D1D28">
          <w:rPr>
            <w:rStyle w:val="Hyperlink"/>
          </w:rPr>
          <w:t>www.ref.ac.uk/</w:t>
        </w:r>
      </w:hyperlink>
    </w:p>
    <w:p w:rsidR="006811E4" w:rsidRPr="00DA1E8C" w:rsidRDefault="006811E4"/>
    <w:sectPr w:rsidR="006811E4" w:rsidRPr="00DA1E8C" w:rsidSect="00D263A2">
      <w:pgSz w:w="16838" w:h="11906" w:orient="landscape"/>
      <w:pgMar w:top="1247" w:right="1247" w:bottom="1247" w:left="124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4A8E"/>
    <w:multiLevelType w:val="hybridMultilevel"/>
    <w:tmpl w:val="E91EE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00196"/>
    <w:multiLevelType w:val="hybridMultilevel"/>
    <w:tmpl w:val="EBF0D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02716"/>
    <w:multiLevelType w:val="multilevel"/>
    <w:tmpl w:val="57EA4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F2170"/>
    <w:multiLevelType w:val="hybridMultilevel"/>
    <w:tmpl w:val="2A821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933B50"/>
    <w:multiLevelType w:val="hybridMultilevel"/>
    <w:tmpl w:val="998040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AD0E6C"/>
    <w:multiLevelType w:val="multilevel"/>
    <w:tmpl w:val="D270A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24EBB"/>
    <w:multiLevelType w:val="multilevel"/>
    <w:tmpl w:val="3AE2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B7F16"/>
    <w:multiLevelType w:val="hybridMultilevel"/>
    <w:tmpl w:val="955C8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A49CF"/>
    <w:multiLevelType w:val="hybridMultilevel"/>
    <w:tmpl w:val="8B084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C50BAB"/>
    <w:multiLevelType w:val="hybridMultilevel"/>
    <w:tmpl w:val="9842C534"/>
    <w:lvl w:ilvl="0" w:tplc="E81AD934">
      <w:start w:val="15"/>
      <w:numFmt w:val="decimal"/>
      <w:lvlText w:val="%1."/>
      <w:lvlJc w:val="left"/>
      <w:pPr>
        <w:ind w:left="1240" w:hanging="440"/>
        <w:jc w:val="left"/>
      </w:pPr>
      <w:rPr>
        <w:rFonts w:ascii="Open Sans" w:eastAsia="Open Sans" w:hAnsi="Open Sans" w:cs="Open Sans" w:hint="default"/>
        <w:color w:val="231F20"/>
        <w:spacing w:val="-3"/>
        <w:w w:val="100"/>
        <w:sz w:val="20"/>
        <w:szCs w:val="20"/>
        <w:lang w:val="en-GB" w:eastAsia="en-GB" w:bidi="en-GB"/>
      </w:rPr>
    </w:lvl>
    <w:lvl w:ilvl="1" w:tplc="396421EA">
      <w:start w:val="1"/>
      <w:numFmt w:val="lowerLetter"/>
      <w:lvlText w:val="%2."/>
      <w:lvlJc w:val="left"/>
      <w:pPr>
        <w:ind w:left="2180" w:hanging="360"/>
        <w:jc w:val="left"/>
      </w:pPr>
      <w:rPr>
        <w:rFonts w:ascii="Open Sans" w:eastAsia="Open Sans" w:hAnsi="Open Sans" w:cs="Open Sans" w:hint="default"/>
        <w:color w:val="231F20"/>
        <w:spacing w:val="-12"/>
        <w:w w:val="100"/>
        <w:sz w:val="20"/>
        <w:szCs w:val="20"/>
        <w:lang w:val="en-GB" w:eastAsia="en-GB" w:bidi="en-GB"/>
      </w:rPr>
    </w:lvl>
    <w:lvl w:ilvl="2" w:tplc="67545F7A">
      <w:numFmt w:val="bullet"/>
      <w:lvlText w:val="•"/>
      <w:lvlJc w:val="left"/>
      <w:pPr>
        <w:ind w:left="3209" w:hanging="360"/>
      </w:pPr>
      <w:rPr>
        <w:rFonts w:hint="default"/>
        <w:lang w:val="en-GB" w:eastAsia="en-GB" w:bidi="en-GB"/>
      </w:rPr>
    </w:lvl>
    <w:lvl w:ilvl="3" w:tplc="524CB19A">
      <w:numFmt w:val="bullet"/>
      <w:lvlText w:val="•"/>
      <w:lvlJc w:val="left"/>
      <w:pPr>
        <w:ind w:left="4239" w:hanging="360"/>
      </w:pPr>
      <w:rPr>
        <w:rFonts w:hint="default"/>
        <w:lang w:val="en-GB" w:eastAsia="en-GB" w:bidi="en-GB"/>
      </w:rPr>
    </w:lvl>
    <w:lvl w:ilvl="4" w:tplc="F590302A">
      <w:numFmt w:val="bullet"/>
      <w:lvlText w:val="•"/>
      <w:lvlJc w:val="left"/>
      <w:pPr>
        <w:ind w:left="5268" w:hanging="360"/>
      </w:pPr>
      <w:rPr>
        <w:rFonts w:hint="default"/>
        <w:lang w:val="en-GB" w:eastAsia="en-GB" w:bidi="en-GB"/>
      </w:rPr>
    </w:lvl>
    <w:lvl w:ilvl="5" w:tplc="34E0CAD4">
      <w:numFmt w:val="bullet"/>
      <w:lvlText w:val="•"/>
      <w:lvlJc w:val="left"/>
      <w:pPr>
        <w:ind w:left="6298" w:hanging="360"/>
      </w:pPr>
      <w:rPr>
        <w:rFonts w:hint="default"/>
        <w:lang w:val="en-GB" w:eastAsia="en-GB" w:bidi="en-GB"/>
      </w:rPr>
    </w:lvl>
    <w:lvl w:ilvl="6" w:tplc="B1F6B974">
      <w:numFmt w:val="bullet"/>
      <w:lvlText w:val="•"/>
      <w:lvlJc w:val="left"/>
      <w:pPr>
        <w:ind w:left="7327" w:hanging="360"/>
      </w:pPr>
      <w:rPr>
        <w:rFonts w:hint="default"/>
        <w:lang w:val="en-GB" w:eastAsia="en-GB" w:bidi="en-GB"/>
      </w:rPr>
    </w:lvl>
    <w:lvl w:ilvl="7" w:tplc="311EC760">
      <w:numFmt w:val="bullet"/>
      <w:lvlText w:val="•"/>
      <w:lvlJc w:val="left"/>
      <w:pPr>
        <w:ind w:left="8357" w:hanging="360"/>
      </w:pPr>
      <w:rPr>
        <w:rFonts w:hint="default"/>
        <w:lang w:val="en-GB" w:eastAsia="en-GB" w:bidi="en-GB"/>
      </w:rPr>
    </w:lvl>
    <w:lvl w:ilvl="8" w:tplc="64B4E3A8">
      <w:numFmt w:val="bullet"/>
      <w:lvlText w:val="•"/>
      <w:lvlJc w:val="left"/>
      <w:pPr>
        <w:ind w:left="9386" w:hanging="360"/>
      </w:pPr>
      <w:rPr>
        <w:rFonts w:hint="default"/>
        <w:lang w:val="en-GB" w:eastAsia="en-GB" w:bidi="en-GB"/>
      </w:rPr>
    </w:lvl>
  </w:abstractNum>
  <w:abstractNum w:abstractNumId="10" w15:restartNumberingAfterBreak="0">
    <w:nsid w:val="42876E69"/>
    <w:multiLevelType w:val="multilevel"/>
    <w:tmpl w:val="0190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FCA7433"/>
    <w:multiLevelType w:val="multilevel"/>
    <w:tmpl w:val="1F4CE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8B1B9A"/>
    <w:multiLevelType w:val="hybridMultilevel"/>
    <w:tmpl w:val="1AB4B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A66AFE"/>
    <w:multiLevelType w:val="multilevel"/>
    <w:tmpl w:val="9AFA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13"/>
  </w:num>
  <w:num w:numId="4">
    <w:abstractNumId w:val="6"/>
  </w:num>
  <w:num w:numId="5">
    <w:abstractNumId w:val="2"/>
  </w:num>
  <w:num w:numId="6">
    <w:abstractNumId w:val="12"/>
  </w:num>
  <w:num w:numId="7">
    <w:abstractNumId w:val="3"/>
  </w:num>
  <w:num w:numId="8">
    <w:abstractNumId w:val="4"/>
  </w:num>
  <w:num w:numId="9">
    <w:abstractNumId w:val="0"/>
  </w:num>
  <w:num w:numId="10">
    <w:abstractNumId w:val="11"/>
  </w:num>
  <w:num w:numId="11">
    <w:abstractNumId w:val="7"/>
  </w:num>
  <w:num w:numId="12">
    <w:abstractNumId w:val="8"/>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9A1"/>
    <w:rsid w:val="00021073"/>
    <w:rsid w:val="00053881"/>
    <w:rsid w:val="000658A4"/>
    <w:rsid w:val="00092E81"/>
    <w:rsid w:val="000B2A24"/>
    <w:rsid w:val="000D782E"/>
    <w:rsid w:val="00153B95"/>
    <w:rsid w:val="00157AA7"/>
    <w:rsid w:val="00191B06"/>
    <w:rsid w:val="001A6AA0"/>
    <w:rsid w:val="001D1816"/>
    <w:rsid w:val="001E770F"/>
    <w:rsid w:val="00212AE2"/>
    <w:rsid w:val="002333E2"/>
    <w:rsid w:val="0026215B"/>
    <w:rsid w:val="00293CD5"/>
    <w:rsid w:val="003038DF"/>
    <w:rsid w:val="003119A1"/>
    <w:rsid w:val="00392842"/>
    <w:rsid w:val="003A03CB"/>
    <w:rsid w:val="003D4AA8"/>
    <w:rsid w:val="00415A56"/>
    <w:rsid w:val="00432D9C"/>
    <w:rsid w:val="00443C01"/>
    <w:rsid w:val="00453DA4"/>
    <w:rsid w:val="00504698"/>
    <w:rsid w:val="00543529"/>
    <w:rsid w:val="00545C03"/>
    <w:rsid w:val="00563343"/>
    <w:rsid w:val="00657A5B"/>
    <w:rsid w:val="006811E4"/>
    <w:rsid w:val="00746F52"/>
    <w:rsid w:val="00754D30"/>
    <w:rsid w:val="00795096"/>
    <w:rsid w:val="0088195C"/>
    <w:rsid w:val="008A09D1"/>
    <w:rsid w:val="008B6085"/>
    <w:rsid w:val="008C5C3C"/>
    <w:rsid w:val="00944AD8"/>
    <w:rsid w:val="00963D50"/>
    <w:rsid w:val="009C08F0"/>
    <w:rsid w:val="009E14A7"/>
    <w:rsid w:val="00A54D99"/>
    <w:rsid w:val="00AE3DAC"/>
    <w:rsid w:val="00B06668"/>
    <w:rsid w:val="00B9285B"/>
    <w:rsid w:val="00BF4A84"/>
    <w:rsid w:val="00C45D4D"/>
    <w:rsid w:val="00C661E4"/>
    <w:rsid w:val="00CB4F97"/>
    <w:rsid w:val="00D04FFD"/>
    <w:rsid w:val="00D263A2"/>
    <w:rsid w:val="00D6615E"/>
    <w:rsid w:val="00D81F6B"/>
    <w:rsid w:val="00D8284D"/>
    <w:rsid w:val="00D90CCE"/>
    <w:rsid w:val="00DA1E8C"/>
    <w:rsid w:val="00E247C4"/>
    <w:rsid w:val="00E722AE"/>
    <w:rsid w:val="00E87E90"/>
    <w:rsid w:val="00F072E0"/>
    <w:rsid w:val="00F265B5"/>
    <w:rsid w:val="00FD39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A6DD4"/>
  <w15:chartTrackingRefBased/>
  <w15:docId w15:val="{75824472-7FD2-44B0-A3FE-0B3454B6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119A1"/>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E87E90"/>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19A1"/>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3119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119A1"/>
    <w:rPr>
      <w:color w:val="0000FF"/>
      <w:u w:val="single"/>
    </w:rPr>
  </w:style>
  <w:style w:type="character" w:styleId="Strong">
    <w:name w:val="Strong"/>
    <w:basedOn w:val="DefaultParagraphFont"/>
    <w:uiPriority w:val="22"/>
    <w:qFormat/>
    <w:rsid w:val="003119A1"/>
    <w:rPr>
      <w:b/>
      <w:bCs/>
    </w:rPr>
  </w:style>
  <w:style w:type="character" w:styleId="FollowedHyperlink">
    <w:name w:val="FollowedHyperlink"/>
    <w:basedOn w:val="DefaultParagraphFont"/>
    <w:uiPriority w:val="99"/>
    <w:semiHidden/>
    <w:unhideWhenUsed/>
    <w:rsid w:val="00392842"/>
    <w:rPr>
      <w:color w:val="954F72" w:themeColor="followedHyperlink"/>
      <w:u w:val="single"/>
    </w:rPr>
  </w:style>
  <w:style w:type="character" w:customStyle="1" w:styleId="access">
    <w:name w:val="access"/>
    <w:basedOn w:val="DefaultParagraphFont"/>
    <w:rsid w:val="00392842"/>
  </w:style>
  <w:style w:type="paragraph" w:styleId="ListParagraph">
    <w:name w:val="List Paragraph"/>
    <w:basedOn w:val="Normal"/>
    <w:uiPriority w:val="1"/>
    <w:qFormat/>
    <w:rsid w:val="00D81F6B"/>
    <w:pPr>
      <w:ind w:left="720"/>
      <w:contextualSpacing/>
    </w:pPr>
  </w:style>
  <w:style w:type="paragraph" w:styleId="BalloonText">
    <w:name w:val="Balloon Text"/>
    <w:basedOn w:val="Normal"/>
    <w:link w:val="BalloonTextChar"/>
    <w:uiPriority w:val="99"/>
    <w:semiHidden/>
    <w:unhideWhenUsed/>
    <w:rsid w:val="00DA1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E8C"/>
    <w:rPr>
      <w:rFonts w:ascii="Segoe UI" w:hAnsi="Segoe UI" w:cs="Segoe UI"/>
      <w:sz w:val="18"/>
      <w:szCs w:val="18"/>
    </w:rPr>
  </w:style>
  <w:style w:type="character" w:customStyle="1" w:styleId="Heading3Char">
    <w:name w:val="Heading 3 Char"/>
    <w:basedOn w:val="DefaultParagraphFont"/>
    <w:link w:val="Heading3"/>
    <w:uiPriority w:val="9"/>
    <w:rsid w:val="00E87E90"/>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3773">
      <w:bodyDiv w:val="1"/>
      <w:marLeft w:val="0"/>
      <w:marRight w:val="0"/>
      <w:marTop w:val="0"/>
      <w:marBottom w:val="0"/>
      <w:divBdr>
        <w:top w:val="none" w:sz="0" w:space="0" w:color="auto"/>
        <w:left w:val="none" w:sz="0" w:space="0" w:color="auto"/>
        <w:bottom w:val="none" w:sz="0" w:space="0" w:color="auto"/>
        <w:right w:val="none" w:sz="0" w:space="0" w:color="auto"/>
      </w:divBdr>
    </w:div>
    <w:div w:id="716129094">
      <w:bodyDiv w:val="1"/>
      <w:marLeft w:val="0"/>
      <w:marRight w:val="0"/>
      <w:marTop w:val="0"/>
      <w:marBottom w:val="0"/>
      <w:divBdr>
        <w:top w:val="none" w:sz="0" w:space="0" w:color="auto"/>
        <w:left w:val="none" w:sz="0" w:space="0" w:color="auto"/>
        <w:bottom w:val="none" w:sz="0" w:space="0" w:color="auto"/>
        <w:right w:val="none" w:sz="0" w:space="0" w:color="auto"/>
      </w:divBdr>
    </w:div>
    <w:div w:id="773482650">
      <w:bodyDiv w:val="1"/>
      <w:marLeft w:val="0"/>
      <w:marRight w:val="0"/>
      <w:marTop w:val="0"/>
      <w:marBottom w:val="0"/>
      <w:divBdr>
        <w:top w:val="none" w:sz="0" w:space="0" w:color="auto"/>
        <w:left w:val="none" w:sz="0" w:space="0" w:color="auto"/>
        <w:bottom w:val="none" w:sz="0" w:space="0" w:color="auto"/>
        <w:right w:val="none" w:sz="0" w:space="0" w:color="auto"/>
      </w:divBdr>
    </w:div>
    <w:div w:id="897940075">
      <w:bodyDiv w:val="1"/>
      <w:marLeft w:val="0"/>
      <w:marRight w:val="0"/>
      <w:marTop w:val="0"/>
      <w:marBottom w:val="0"/>
      <w:divBdr>
        <w:top w:val="none" w:sz="0" w:space="0" w:color="auto"/>
        <w:left w:val="none" w:sz="0" w:space="0" w:color="auto"/>
        <w:bottom w:val="none" w:sz="0" w:space="0" w:color="auto"/>
        <w:right w:val="none" w:sz="0" w:space="0" w:color="auto"/>
      </w:divBdr>
    </w:div>
    <w:div w:id="1092164750">
      <w:bodyDiv w:val="1"/>
      <w:marLeft w:val="0"/>
      <w:marRight w:val="0"/>
      <w:marTop w:val="0"/>
      <w:marBottom w:val="0"/>
      <w:divBdr>
        <w:top w:val="none" w:sz="0" w:space="0" w:color="auto"/>
        <w:left w:val="none" w:sz="0" w:space="0" w:color="auto"/>
        <w:bottom w:val="none" w:sz="0" w:space="0" w:color="auto"/>
        <w:right w:val="none" w:sz="0" w:space="0" w:color="auto"/>
      </w:divBdr>
    </w:div>
    <w:div w:id="1211721588">
      <w:bodyDiv w:val="1"/>
      <w:marLeft w:val="0"/>
      <w:marRight w:val="0"/>
      <w:marTop w:val="0"/>
      <w:marBottom w:val="0"/>
      <w:divBdr>
        <w:top w:val="none" w:sz="0" w:space="0" w:color="auto"/>
        <w:left w:val="none" w:sz="0" w:space="0" w:color="auto"/>
        <w:bottom w:val="none" w:sz="0" w:space="0" w:color="auto"/>
        <w:right w:val="none" w:sz="0" w:space="0" w:color="auto"/>
      </w:divBdr>
    </w:div>
    <w:div w:id="1285624967">
      <w:bodyDiv w:val="1"/>
      <w:marLeft w:val="0"/>
      <w:marRight w:val="0"/>
      <w:marTop w:val="0"/>
      <w:marBottom w:val="0"/>
      <w:divBdr>
        <w:top w:val="none" w:sz="0" w:space="0" w:color="auto"/>
        <w:left w:val="none" w:sz="0" w:space="0" w:color="auto"/>
        <w:bottom w:val="none" w:sz="0" w:space="0" w:color="auto"/>
        <w:right w:val="none" w:sz="0" w:space="0" w:color="auto"/>
      </w:divBdr>
    </w:div>
    <w:div w:id="1431047234">
      <w:bodyDiv w:val="1"/>
      <w:marLeft w:val="0"/>
      <w:marRight w:val="0"/>
      <w:marTop w:val="0"/>
      <w:marBottom w:val="0"/>
      <w:divBdr>
        <w:top w:val="none" w:sz="0" w:space="0" w:color="auto"/>
        <w:left w:val="none" w:sz="0" w:space="0" w:color="auto"/>
        <w:bottom w:val="none" w:sz="0" w:space="0" w:color="auto"/>
        <w:right w:val="none" w:sz="0" w:space="0" w:color="auto"/>
      </w:divBdr>
    </w:div>
    <w:div w:id="1580628794">
      <w:bodyDiv w:val="1"/>
      <w:marLeft w:val="0"/>
      <w:marRight w:val="0"/>
      <w:marTop w:val="0"/>
      <w:marBottom w:val="0"/>
      <w:divBdr>
        <w:top w:val="none" w:sz="0" w:space="0" w:color="auto"/>
        <w:left w:val="none" w:sz="0" w:space="0" w:color="auto"/>
        <w:bottom w:val="none" w:sz="0" w:space="0" w:color="auto"/>
        <w:right w:val="none" w:sz="0" w:space="0" w:color="auto"/>
      </w:divBdr>
    </w:div>
    <w:div w:id="202817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f.ac.uk/panels/equality-and-diversity-advisory-panel/" TargetMode="External"/><Relationship Id="rId13" Type="http://schemas.openxmlformats.org/officeDocument/2006/relationships/hyperlink" Target="http://www.exeter.ac.uk/research/services/ref/ref2021/" TargetMode="External"/><Relationship Id="rId3" Type="http://schemas.openxmlformats.org/officeDocument/2006/relationships/styles" Target="styles.xml"/><Relationship Id="rId7" Type="http://schemas.openxmlformats.org/officeDocument/2006/relationships/hyperlink" Target="https://www.ref.ac.uk/panels/units-of-assessment/" TargetMode="External"/><Relationship Id="rId12" Type="http://schemas.openxmlformats.org/officeDocument/2006/relationships/hyperlink" Target="mailto:Exeter-REF-2021@Exeter.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xeter.ac.uk/research/openresearch/policies/ref/" TargetMode="External"/><Relationship Id="rId5" Type="http://schemas.openxmlformats.org/officeDocument/2006/relationships/webSettings" Target="webSettings.xml"/><Relationship Id="rId15" Type="http://schemas.openxmlformats.org/officeDocument/2006/relationships/hyperlink" Target="http://www.ref.ac.uk/" TargetMode="External"/><Relationship Id="rId10" Type="http://schemas.openxmlformats.org/officeDocument/2006/relationships/hyperlink" Target="http://www.exeter.ac.uk/researchtoolkit/researchcultureandpolicies/orcid/" TargetMode="External"/><Relationship Id="rId4" Type="http://schemas.openxmlformats.org/officeDocument/2006/relationships/settings" Target="settings.xml"/><Relationship Id="rId9" Type="http://schemas.openxmlformats.org/officeDocument/2006/relationships/hyperlink" Target="https://www.ref.ac.uk/panels/interdisciplinary-research-advisory-panel/" TargetMode="External"/><Relationship Id="rId14" Type="http://schemas.openxmlformats.org/officeDocument/2006/relationships/hyperlink" Target="https://content.exeter.ac.uk/terminalfour/SiteManager?ctfn=download&amp;fnno=60&amp;ceid=311392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A867B-D797-4B6E-9953-1545C1D6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1026</Words>
  <Characters>5853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Nicholas</dc:creator>
  <cp:keywords/>
  <dc:description/>
  <cp:lastModifiedBy>Bennett, Cameron</cp:lastModifiedBy>
  <cp:revision>3</cp:revision>
  <cp:lastPrinted>2020-05-13T09:14:00Z</cp:lastPrinted>
  <dcterms:created xsi:type="dcterms:W3CDTF">2021-04-12T09:30:00Z</dcterms:created>
  <dcterms:modified xsi:type="dcterms:W3CDTF">2021-04-12T09:39:00Z</dcterms:modified>
</cp:coreProperties>
</file>